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05E" w:rsidRDefault="00AC034A" w:rsidP="009A2D9E">
      <w:pPr>
        <w:widowControl w:val="0"/>
        <w:autoSpaceDE w:val="0"/>
        <w:autoSpaceDN w:val="0"/>
        <w:adjustRightInd w:val="0"/>
        <w:spacing w:after="240"/>
        <w:jc w:val="center"/>
        <w:rPr>
          <w:rFonts w:ascii="Arial" w:hAnsi="Arial" w:cs="Arial"/>
          <w:bCs/>
          <w:color w:val="262626"/>
          <w:sz w:val="22"/>
          <w:szCs w:val="22"/>
        </w:rPr>
      </w:pPr>
      <w:bookmarkStart w:id="0" w:name="_GoBack"/>
      <w:bookmarkEnd w:id="0"/>
      <w:r>
        <w:rPr>
          <w:rFonts w:ascii="Arial" w:hAnsi="Arial" w:cs="Arial"/>
          <w:bCs/>
          <w:noProof/>
          <w:color w:val="262626"/>
          <w:sz w:val="22"/>
          <w:szCs w:val="22"/>
        </w:rPr>
        <w:drawing>
          <wp:inline distT="0" distB="0" distL="0" distR="0" wp14:anchorId="0754D538" wp14:editId="5C846B68">
            <wp:extent cx="5486400" cy="827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Clogo.png"/>
                    <pic:cNvPicPr/>
                  </pic:nvPicPr>
                  <pic:blipFill>
                    <a:blip r:embed="rId11">
                      <a:extLst>
                        <a:ext uri="{28A0092B-C50C-407E-A947-70E740481C1C}">
                          <a14:useLocalDpi xmlns:a14="http://schemas.microsoft.com/office/drawing/2010/main" val="0"/>
                        </a:ext>
                      </a:extLst>
                    </a:blip>
                    <a:stretch>
                      <a:fillRect/>
                    </a:stretch>
                  </pic:blipFill>
                  <pic:spPr>
                    <a:xfrm>
                      <a:off x="0" y="0"/>
                      <a:ext cx="5486400" cy="827405"/>
                    </a:xfrm>
                    <a:prstGeom prst="rect">
                      <a:avLst/>
                    </a:prstGeom>
                  </pic:spPr>
                </pic:pic>
              </a:graphicData>
            </a:graphic>
          </wp:inline>
        </w:drawing>
      </w:r>
    </w:p>
    <w:p w:rsidR="009A2D9E" w:rsidRPr="002E3648" w:rsidRDefault="00EE7627" w:rsidP="009A2D9E">
      <w:pPr>
        <w:widowControl w:val="0"/>
        <w:autoSpaceDE w:val="0"/>
        <w:autoSpaceDN w:val="0"/>
        <w:adjustRightInd w:val="0"/>
        <w:spacing w:after="240"/>
        <w:ind w:left="2160" w:firstLine="720"/>
        <w:rPr>
          <w:rFonts w:asciiTheme="majorHAnsi" w:hAnsiTheme="majorHAnsi" w:cs="Arial"/>
          <w:bCs/>
          <w:color w:val="262626"/>
        </w:rPr>
      </w:pPr>
      <w:r w:rsidRPr="00EE7627">
        <w:rPr>
          <w:rFonts w:cs="Arial"/>
          <w:bCs/>
          <w:color w:val="262626"/>
        </w:rPr>
        <w:t xml:space="preserve">       </w:t>
      </w:r>
      <w:r w:rsidRPr="002E3648">
        <w:rPr>
          <w:rFonts w:asciiTheme="majorHAnsi" w:hAnsiTheme="majorHAnsi" w:cs="Arial"/>
          <w:bCs/>
          <w:color w:val="262626"/>
        </w:rPr>
        <w:t>April 24</w:t>
      </w:r>
      <w:r w:rsidR="009A2D9E" w:rsidRPr="002E3648">
        <w:rPr>
          <w:rFonts w:asciiTheme="majorHAnsi" w:hAnsiTheme="majorHAnsi" w:cs="Arial"/>
          <w:bCs/>
          <w:color w:val="262626"/>
        </w:rPr>
        <w:t>, 2015</w:t>
      </w:r>
    </w:p>
    <w:p w:rsidR="009A2D9E" w:rsidRPr="002E3648" w:rsidRDefault="00D81443" w:rsidP="00EE7627">
      <w:pPr>
        <w:pStyle w:val="NoSpacing"/>
        <w:ind w:left="1440"/>
        <w:rPr>
          <w:rFonts w:asciiTheme="majorHAnsi" w:hAnsiTheme="majorHAnsi"/>
        </w:rPr>
      </w:pPr>
      <w:r w:rsidRPr="002E3648">
        <w:rPr>
          <w:rFonts w:asciiTheme="majorHAnsi" w:hAnsiTheme="majorHAnsi" w:cs="Arial"/>
          <w:bCs/>
          <w:noProof/>
          <w:color w:val="262626"/>
          <w:sz w:val="22"/>
          <w:szCs w:val="22"/>
        </w:rPr>
        <mc:AlternateContent>
          <mc:Choice Requires="wps">
            <w:drawing>
              <wp:anchor distT="0" distB="0" distL="114300" distR="114300" simplePos="0" relativeHeight="251660288" behindDoc="0" locked="0" layoutInCell="1" allowOverlap="1" wp14:anchorId="5F19591C" wp14:editId="6A7C6953">
                <wp:simplePos x="0" y="0"/>
                <wp:positionH relativeFrom="margin">
                  <wp:align>left</wp:align>
                </wp:positionH>
                <wp:positionV relativeFrom="paragraph">
                  <wp:posOffset>14605</wp:posOffset>
                </wp:positionV>
                <wp:extent cx="1428750" cy="5103495"/>
                <wp:effectExtent l="0" t="0" r="0" b="1905"/>
                <wp:wrapSquare wrapText="bothSides"/>
                <wp:docPr id="4" name="Text Box 4"/>
                <wp:cNvGraphicFramePr/>
                <a:graphic xmlns:a="http://schemas.openxmlformats.org/drawingml/2006/main">
                  <a:graphicData uri="http://schemas.microsoft.com/office/word/2010/wordprocessingShape">
                    <wps:wsp>
                      <wps:cNvSpPr txBox="1"/>
                      <wps:spPr>
                        <a:xfrm>
                          <a:off x="0" y="0"/>
                          <a:ext cx="1428750" cy="51034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F0310" w:rsidRPr="009A2D9E" w:rsidRDefault="005F0310" w:rsidP="009D3126">
                            <w:pPr>
                              <w:rPr>
                                <w:rFonts w:ascii="ITC Avant Garde Gothic" w:hAnsi="ITC Avant Garde Gothic"/>
                                <w:b/>
                                <w:sz w:val="16"/>
                                <w:szCs w:val="16"/>
                              </w:rPr>
                            </w:pPr>
                            <w:r w:rsidRPr="009A2D9E">
                              <w:rPr>
                                <w:rFonts w:ascii="ITC Avant Garde Gothic" w:hAnsi="ITC Avant Garde Gothic"/>
                                <w:b/>
                                <w:sz w:val="16"/>
                                <w:szCs w:val="16"/>
                              </w:rPr>
                              <w:t>Middle States Commission</w:t>
                            </w:r>
                          </w:p>
                          <w:p w:rsidR="005F0310" w:rsidRPr="009A2D9E" w:rsidRDefault="005F0310" w:rsidP="009D3126">
                            <w:pPr>
                              <w:rPr>
                                <w:rFonts w:ascii="ITC Avant Garde Gothic" w:hAnsi="ITC Avant Garde Gothic"/>
                                <w:b/>
                                <w:sz w:val="16"/>
                                <w:szCs w:val="16"/>
                              </w:rPr>
                            </w:pPr>
                            <w:r w:rsidRPr="009A2D9E">
                              <w:rPr>
                                <w:rFonts w:ascii="ITC Avant Garde Gothic" w:hAnsi="ITC Avant Garde Gothic"/>
                                <w:b/>
                                <w:sz w:val="16"/>
                                <w:szCs w:val="16"/>
                              </w:rPr>
                              <w:t>on Higher Education</w:t>
                            </w:r>
                          </w:p>
                          <w:p w:rsidR="005F0310" w:rsidRPr="009A2D9E" w:rsidRDefault="005F0310" w:rsidP="009D3126">
                            <w:pPr>
                              <w:rPr>
                                <w:rFonts w:ascii="ITC Avant Garde Gothic" w:hAnsi="ITC Avant Garde Gothic"/>
                                <w:b/>
                                <w:sz w:val="16"/>
                                <w:szCs w:val="16"/>
                              </w:rPr>
                            </w:pPr>
                            <w:r w:rsidRPr="009A2D9E">
                              <w:rPr>
                                <w:rFonts w:ascii="ITC Avant Garde Gothic" w:hAnsi="ITC Avant Garde Gothic"/>
                                <w:b/>
                                <w:sz w:val="16"/>
                                <w:szCs w:val="16"/>
                              </w:rPr>
                              <w:t>MSCHE</w:t>
                            </w:r>
                          </w:p>
                          <w:p w:rsidR="005F0310" w:rsidRPr="009A2D9E" w:rsidRDefault="005F0310" w:rsidP="009D3126">
                            <w:pPr>
                              <w:rPr>
                                <w:rFonts w:ascii="ITC Avant Garde Gothic" w:hAnsi="ITC Avant Garde Gothic"/>
                                <w:b/>
                                <w:sz w:val="16"/>
                                <w:szCs w:val="16"/>
                              </w:rPr>
                            </w:pPr>
                          </w:p>
                          <w:p w:rsidR="005F0310" w:rsidRPr="009A2D9E" w:rsidRDefault="005F0310" w:rsidP="009D3126">
                            <w:pPr>
                              <w:rPr>
                                <w:rFonts w:ascii="ITC Avant Garde Gothic" w:hAnsi="ITC Avant Garde Gothic"/>
                                <w:b/>
                                <w:sz w:val="16"/>
                                <w:szCs w:val="16"/>
                              </w:rPr>
                            </w:pPr>
                            <w:r w:rsidRPr="009A2D9E">
                              <w:rPr>
                                <w:rFonts w:ascii="ITC Avant Garde Gothic" w:hAnsi="ITC Avant Garde Gothic"/>
                                <w:b/>
                                <w:sz w:val="16"/>
                                <w:szCs w:val="16"/>
                              </w:rPr>
                              <w:t xml:space="preserve">The Commission </w:t>
                            </w:r>
                          </w:p>
                          <w:p w:rsidR="005F0310" w:rsidRPr="009A2D9E" w:rsidRDefault="005F0310" w:rsidP="009D3126">
                            <w:pPr>
                              <w:rPr>
                                <w:rFonts w:ascii="ITC Avant Garde Gothic" w:hAnsi="ITC Avant Garde Gothic"/>
                                <w:b/>
                                <w:sz w:val="16"/>
                                <w:szCs w:val="16"/>
                              </w:rPr>
                            </w:pPr>
                            <w:r w:rsidRPr="009A2D9E">
                              <w:rPr>
                                <w:rFonts w:ascii="ITC Avant Garde Gothic" w:hAnsi="ITC Avant Garde Gothic"/>
                                <w:b/>
                                <w:sz w:val="16"/>
                                <w:szCs w:val="16"/>
                              </w:rPr>
                              <w:t xml:space="preserve">on Institutions of Higher </w:t>
                            </w:r>
                          </w:p>
                          <w:p w:rsidR="005F0310" w:rsidRPr="009A2D9E" w:rsidRDefault="005F0310" w:rsidP="009D3126">
                            <w:pPr>
                              <w:rPr>
                                <w:rFonts w:ascii="ITC Avant Garde Gothic" w:hAnsi="ITC Avant Garde Gothic"/>
                                <w:b/>
                                <w:sz w:val="16"/>
                                <w:szCs w:val="16"/>
                              </w:rPr>
                            </w:pPr>
                            <w:r w:rsidRPr="009A2D9E">
                              <w:rPr>
                                <w:rFonts w:ascii="ITC Avant Garde Gothic" w:hAnsi="ITC Avant Garde Gothic"/>
                                <w:b/>
                                <w:sz w:val="16"/>
                                <w:szCs w:val="16"/>
                              </w:rPr>
                              <w:t xml:space="preserve">Education, New England </w:t>
                            </w:r>
                          </w:p>
                          <w:p w:rsidR="005F0310" w:rsidRPr="009A2D9E" w:rsidRDefault="005F0310" w:rsidP="009D3126">
                            <w:pPr>
                              <w:rPr>
                                <w:rFonts w:ascii="ITC Avant Garde Gothic" w:hAnsi="ITC Avant Garde Gothic"/>
                                <w:b/>
                                <w:sz w:val="16"/>
                                <w:szCs w:val="16"/>
                              </w:rPr>
                            </w:pPr>
                            <w:r w:rsidRPr="009A2D9E">
                              <w:rPr>
                                <w:rFonts w:ascii="ITC Avant Garde Gothic" w:hAnsi="ITC Avant Garde Gothic"/>
                                <w:b/>
                                <w:sz w:val="16"/>
                                <w:szCs w:val="16"/>
                              </w:rPr>
                              <w:t>Association of Schools</w:t>
                            </w:r>
                          </w:p>
                          <w:p w:rsidR="005F0310" w:rsidRPr="009A2D9E" w:rsidRDefault="005F0310" w:rsidP="009D3126">
                            <w:pPr>
                              <w:rPr>
                                <w:rFonts w:ascii="ITC Avant Garde Gothic" w:hAnsi="ITC Avant Garde Gothic"/>
                                <w:b/>
                                <w:sz w:val="16"/>
                                <w:szCs w:val="16"/>
                              </w:rPr>
                            </w:pPr>
                            <w:r w:rsidRPr="009A2D9E">
                              <w:rPr>
                                <w:rFonts w:ascii="ITC Avant Garde Gothic" w:hAnsi="ITC Avant Garde Gothic"/>
                                <w:b/>
                                <w:sz w:val="16"/>
                                <w:szCs w:val="16"/>
                              </w:rPr>
                              <w:t>and Colleges</w:t>
                            </w:r>
                          </w:p>
                          <w:p w:rsidR="005F0310" w:rsidRPr="009A2D9E" w:rsidRDefault="005F0310" w:rsidP="009D3126">
                            <w:pPr>
                              <w:rPr>
                                <w:rFonts w:ascii="ITC Avant Garde Gothic" w:hAnsi="ITC Avant Garde Gothic"/>
                                <w:b/>
                                <w:sz w:val="16"/>
                                <w:szCs w:val="16"/>
                              </w:rPr>
                            </w:pPr>
                            <w:r w:rsidRPr="009A2D9E">
                              <w:rPr>
                                <w:rFonts w:ascii="ITC Avant Garde Gothic" w:hAnsi="ITC Avant Garde Gothic"/>
                                <w:b/>
                                <w:sz w:val="16"/>
                                <w:szCs w:val="16"/>
                              </w:rPr>
                              <w:t>NEASC</w:t>
                            </w:r>
                          </w:p>
                          <w:p w:rsidR="005F0310" w:rsidRPr="009A2D9E" w:rsidRDefault="005F0310" w:rsidP="009D3126">
                            <w:pPr>
                              <w:rPr>
                                <w:rFonts w:ascii="ITC Avant Garde Gothic" w:hAnsi="ITC Avant Garde Gothic"/>
                                <w:b/>
                                <w:sz w:val="16"/>
                                <w:szCs w:val="16"/>
                              </w:rPr>
                            </w:pPr>
                          </w:p>
                          <w:p w:rsidR="005F0310" w:rsidRPr="009A2D9E" w:rsidRDefault="005F0310" w:rsidP="009D3126">
                            <w:pPr>
                              <w:rPr>
                                <w:rFonts w:ascii="ITC Avant Garde Gothic" w:hAnsi="ITC Avant Garde Gothic"/>
                                <w:b/>
                                <w:sz w:val="16"/>
                                <w:szCs w:val="16"/>
                              </w:rPr>
                            </w:pPr>
                            <w:r w:rsidRPr="009A2D9E">
                              <w:rPr>
                                <w:rFonts w:ascii="ITC Avant Garde Gothic" w:hAnsi="ITC Avant Garde Gothic"/>
                                <w:b/>
                                <w:sz w:val="16"/>
                                <w:szCs w:val="16"/>
                              </w:rPr>
                              <w:t>Higher Learning Commission</w:t>
                            </w:r>
                          </w:p>
                          <w:p w:rsidR="005F0310" w:rsidRPr="009A2D9E" w:rsidRDefault="005F0310" w:rsidP="009D3126">
                            <w:pPr>
                              <w:rPr>
                                <w:rFonts w:ascii="ITC Avant Garde Gothic" w:hAnsi="ITC Avant Garde Gothic"/>
                                <w:b/>
                                <w:sz w:val="16"/>
                                <w:szCs w:val="16"/>
                              </w:rPr>
                            </w:pPr>
                            <w:r w:rsidRPr="009A2D9E">
                              <w:rPr>
                                <w:rFonts w:ascii="ITC Avant Garde Gothic" w:hAnsi="ITC Avant Garde Gothic"/>
                                <w:b/>
                                <w:sz w:val="16"/>
                                <w:szCs w:val="16"/>
                              </w:rPr>
                              <w:t xml:space="preserve">of the North Central </w:t>
                            </w:r>
                          </w:p>
                          <w:p w:rsidR="005F0310" w:rsidRPr="009A2D9E" w:rsidRDefault="005F0310" w:rsidP="009D3126">
                            <w:pPr>
                              <w:rPr>
                                <w:rFonts w:ascii="ITC Avant Garde Gothic" w:hAnsi="ITC Avant Garde Gothic"/>
                                <w:b/>
                                <w:sz w:val="16"/>
                                <w:szCs w:val="16"/>
                              </w:rPr>
                            </w:pPr>
                            <w:r w:rsidRPr="009A2D9E">
                              <w:rPr>
                                <w:rFonts w:ascii="ITC Avant Garde Gothic" w:hAnsi="ITC Avant Garde Gothic"/>
                                <w:b/>
                                <w:sz w:val="16"/>
                                <w:szCs w:val="16"/>
                              </w:rPr>
                              <w:t>Association of Colleges</w:t>
                            </w:r>
                          </w:p>
                          <w:p w:rsidR="005F0310" w:rsidRPr="009A2D9E" w:rsidRDefault="005F0310" w:rsidP="009D3126">
                            <w:pPr>
                              <w:rPr>
                                <w:rFonts w:ascii="ITC Avant Garde Gothic" w:hAnsi="ITC Avant Garde Gothic"/>
                                <w:b/>
                                <w:sz w:val="16"/>
                                <w:szCs w:val="16"/>
                              </w:rPr>
                            </w:pPr>
                            <w:r w:rsidRPr="009A2D9E">
                              <w:rPr>
                                <w:rFonts w:ascii="ITC Avant Garde Gothic" w:hAnsi="ITC Avant Garde Gothic"/>
                                <w:b/>
                                <w:sz w:val="16"/>
                                <w:szCs w:val="16"/>
                              </w:rPr>
                              <w:t>and Schools</w:t>
                            </w:r>
                          </w:p>
                          <w:p w:rsidR="005F0310" w:rsidRPr="009A2D9E" w:rsidRDefault="005F0310" w:rsidP="009D3126">
                            <w:pPr>
                              <w:rPr>
                                <w:rFonts w:ascii="ITC Avant Garde Gothic" w:hAnsi="ITC Avant Garde Gothic"/>
                                <w:b/>
                                <w:sz w:val="16"/>
                                <w:szCs w:val="16"/>
                              </w:rPr>
                            </w:pPr>
                            <w:r w:rsidRPr="009A2D9E">
                              <w:rPr>
                                <w:rFonts w:ascii="ITC Avant Garde Gothic" w:hAnsi="ITC Avant Garde Gothic"/>
                                <w:b/>
                                <w:sz w:val="16"/>
                                <w:szCs w:val="16"/>
                              </w:rPr>
                              <w:t>HLCNCA</w:t>
                            </w:r>
                          </w:p>
                          <w:p w:rsidR="005F0310" w:rsidRPr="009A2D9E" w:rsidRDefault="005F0310" w:rsidP="009D3126">
                            <w:pPr>
                              <w:rPr>
                                <w:rFonts w:ascii="ITC Avant Garde Gothic" w:hAnsi="ITC Avant Garde Gothic"/>
                                <w:b/>
                                <w:sz w:val="16"/>
                                <w:szCs w:val="16"/>
                              </w:rPr>
                            </w:pPr>
                          </w:p>
                          <w:p w:rsidR="005F0310" w:rsidRPr="009A2D9E" w:rsidRDefault="005F0310" w:rsidP="009D3126">
                            <w:pPr>
                              <w:rPr>
                                <w:rFonts w:ascii="ITC Avant Garde Gothic" w:hAnsi="ITC Avant Garde Gothic"/>
                                <w:b/>
                                <w:sz w:val="16"/>
                                <w:szCs w:val="16"/>
                              </w:rPr>
                            </w:pPr>
                            <w:r w:rsidRPr="009A2D9E">
                              <w:rPr>
                                <w:rFonts w:ascii="ITC Avant Garde Gothic" w:hAnsi="ITC Avant Garde Gothic"/>
                                <w:b/>
                                <w:sz w:val="16"/>
                                <w:szCs w:val="16"/>
                              </w:rPr>
                              <w:t>Northwest Commission</w:t>
                            </w:r>
                          </w:p>
                          <w:p w:rsidR="005F0310" w:rsidRPr="009A2D9E" w:rsidRDefault="005F0310" w:rsidP="009D3126">
                            <w:pPr>
                              <w:rPr>
                                <w:rFonts w:ascii="ITC Avant Garde Gothic" w:hAnsi="ITC Avant Garde Gothic"/>
                                <w:b/>
                                <w:sz w:val="16"/>
                                <w:szCs w:val="16"/>
                              </w:rPr>
                            </w:pPr>
                            <w:r w:rsidRPr="009A2D9E">
                              <w:rPr>
                                <w:rFonts w:ascii="ITC Avant Garde Gothic" w:hAnsi="ITC Avant Garde Gothic"/>
                                <w:b/>
                                <w:sz w:val="16"/>
                                <w:szCs w:val="16"/>
                              </w:rPr>
                              <w:t>on Colleges and Universities</w:t>
                            </w:r>
                          </w:p>
                          <w:p w:rsidR="005F0310" w:rsidRPr="009A2D9E" w:rsidRDefault="005F0310" w:rsidP="009D3126">
                            <w:pPr>
                              <w:rPr>
                                <w:rFonts w:ascii="ITC Avant Garde Gothic" w:hAnsi="ITC Avant Garde Gothic"/>
                                <w:b/>
                                <w:sz w:val="16"/>
                                <w:szCs w:val="16"/>
                              </w:rPr>
                            </w:pPr>
                            <w:r w:rsidRPr="009A2D9E">
                              <w:rPr>
                                <w:rFonts w:ascii="ITC Avant Garde Gothic" w:hAnsi="ITC Avant Garde Gothic"/>
                                <w:b/>
                                <w:sz w:val="16"/>
                                <w:szCs w:val="16"/>
                              </w:rPr>
                              <w:t>NWCCU</w:t>
                            </w:r>
                          </w:p>
                          <w:p w:rsidR="005F0310" w:rsidRPr="009A2D9E" w:rsidRDefault="005F0310" w:rsidP="009D3126">
                            <w:pPr>
                              <w:rPr>
                                <w:rFonts w:ascii="ITC Avant Garde Gothic" w:hAnsi="ITC Avant Garde Gothic"/>
                                <w:b/>
                                <w:sz w:val="16"/>
                                <w:szCs w:val="16"/>
                              </w:rPr>
                            </w:pPr>
                          </w:p>
                          <w:p w:rsidR="005F0310" w:rsidRPr="009A2D9E" w:rsidRDefault="005F0310" w:rsidP="009D3126">
                            <w:pPr>
                              <w:rPr>
                                <w:rFonts w:ascii="ITC Avant Garde Gothic" w:hAnsi="ITC Avant Garde Gothic"/>
                                <w:b/>
                                <w:sz w:val="16"/>
                                <w:szCs w:val="16"/>
                              </w:rPr>
                            </w:pPr>
                            <w:r w:rsidRPr="009A2D9E">
                              <w:rPr>
                                <w:rFonts w:ascii="ITC Avant Garde Gothic" w:hAnsi="ITC Avant Garde Gothic"/>
                                <w:b/>
                                <w:sz w:val="16"/>
                                <w:szCs w:val="16"/>
                              </w:rPr>
                              <w:t>Southern Association</w:t>
                            </w:r>
                          </w:p>
                          <w:p w:rsidR="005F0310" w:rsidRPr="009A2D9E" w:rsidRDefault="005F0310" w:rsidP="009D3126">
                            <w:pPr>
                              <w:rPr>
                                <w:rFonts w:ascii="ITC Avant Garde Gothic" w:hAnsi="ITC Avant Garde Gothic"/>
                                <w:b/>
                                <w:sz w:val="16"/>
                                <w:szCs w:val="16"/>
                              </w:rPr>
                            </w:pPr>
                            <w:r w:rsidRPr="009A2D9E">
                              <w:rPr>
                                <w:rFonts w:ascii="ITC Avant Garde Gothic" w:hAnsi="ITC Avant Garde Gothic"/>
                                <w:b/>
                                <w:sz w:val="16"/>
                                <w:szCs w:val="16"/>
                              </w:rPr>
                              <w:t>of Colleges and Schools</w:t>
                            </w:r>
                          </w:p>
                          <w:p w:rsidR="005F0310" w:rsidRPr="009A2D9E" w:rsidRDefault="005F0310" w:rsidP="009D3126">
                            <w:pPr>
                              <w:rPr>
                                <w:rFonts w:ascii="ITC Avant Garde Gothic" w:hAnsi="ITC Avant Garde Gothic"/>
                                <w:b/>
                                <w:sz w:val="16"/>
                                <w:szCs w:val="16"/>
                              </w:rPr>
                            </w:pPr>
                            <w:r w:rsidRPr="009A2D9E">
                              <w:rPr>
                                <w:rFonts w:ascii="ITC Avant Garde Gothic" w:hAnsi="ITC Avant Garde Gothic"/>
                                <w:b/>
                                <w:sz w:val="16"/>
                                <w:szCs w:val="16"/>
                              </w:rPr>
                              <w:t>Commission on Colleges</w:t>
                            </w:r>
                          </w:p>
                          <w:p w:rsidR="005F0310" w:rsidRPr="009A2D9E" w:rsidRDefault="005F0310" w:rsidP="009D3126">
                            <w:pPr>
                              <w:rPr>
                                <w:rFonts w:ascii="ITC Avant Garde Gothic" w:hAnsi="ITC Avant Garde Gothic"/>
                                <w:b/>
                                <w:sz w:val="16"/>
                                <w:szCs w:val="16"/>
                              </w:rPr>
                            </w:pPr>
                            <w:r w:rsidRPr="009A2D9E">
                              <w:rPr>
                                <w:rFonts w:ascii="ITC Avant Garde Gothic" w:hAnsi="ITC Avant Garde Gothic"/>
                                <w:b/>
                                <w:sz w:val="16"/>
                                <w:szCs w:val="16"/>
                              </w:rPr>
                              <w:t>SACSOC</w:t>
                            </w:r>
                          </w:p>
                          <w:p w:rsidR="005F0310" w:rsidRPr="009A2D9E" w:rsidRDefault="005F0310" w:rsidP="009D3126">
                            <w:pPr>
                              <w:rPr>
                                <w:rFonts w:ascii="ITC Avant Garde Gothic" w:hAnsi="ITC Avant Garde Gothic"/>
                                <w:b/>
                                <w:sz w:val="16"/>
                                <w:szCs w:val="16"/>
                              </w:rPr>
                            </w:pPr>
                          </w:p>
                          <w:p w:rsidR="005F0310" w:rsidRPr="009A2D9E" w:rsidRDefault="005F0310" w:rsidP="009D3126">
                            <w:pPr>
                              <w:rPr>
                                <w:rFonts w:ascii="ITC Avant Garde Gothic" w:hAnsi="ITC Avant Garde Gothic"/>
                                <w:b/>
                                <w:sz w:val="16"/>
                                <w:szCs w:val="16"/>
                              </w:rPr>
                            </w:pPr>
                            <w:r w:rsidRPr="009A2D9E">
                              <w:rPr>
                                <w:rFonts w:ascii="ITC Avant Garde Gothic" w:hAnsi="ITC Avant Garde Gothic"/>
                                <w:b/>
                                <w:sz w:val="16"/>
                                <w:szCs w:val="16"/>
                              </w:rPr>
                              <w:t xml:space="preserve">Accrediting Commission </w:t>
                            </w:r>
                          </w:p>
                          <w:p w:rsidR="005F0310" w:rsidRPr="009A2D9E" w:rsidRDefault="005F0310" w:rsidP="009D3126">
                            <w:pPr>
                              <w:rPr>
                                <w:rFonts w:ascii="ITC Avant Garde Gothic" w:hAnsi="ITC Avant Garde Gothic"/>
                                <w:b/>
                                <w:sz w:val="16"/>
                                <w:szCs w:val="16"/>
                              </w:rPr>
                            </w:pPr>
                            <w:r w:rsidRPr="009A2D9E">
                              <w:rPr>
                                <w:rFonts w:ascii="ITC Avant Garde Gothic" w:hAnsi="ITC Avant Garde Gothic"/>
                                <w:b/>
                                <w:sz w:val="16"/>
                                <w:szCs w:val="16"/>
                              </w:rPr>
                              <w:t xml:space="preserve">for Community and </w:t>
                            </w:r>
                          </w:p>
                          <w:p w:rsidR="005F0310" w:rsidRPr="009A2D9E" w:rsidRDefault="005F0310" w:rsidP="009D3126">
                            <w:pPr>
                              <w:rPr>
                                <w:rFonts w:ascii="ITC Avant Garde Gothic" w:hAnsi="ITC Avant Garde Gothic"/>
                                <w:b/>
                                <w:sz w:val="16"/>
                                <w:szCs w:val="16"/>
                              </w:rPr>
                            </w:pPr>
                            <w:r w:rsidRPr="009A2D9E">
                              <w:rPr>
                                <w:rFonts w:ascii="ITC Avant Garde Gothic" w:hAnsi="ITC Avant Garde Gothic"/>
                                <w:b/>
                                <w:sz w:val="16"/>
                                <w:szCs w:val="16"/>
                              </w:rPr>
                              <w:t xml:space="preserve">Junior Colleges, </w:t>
                            </w:r>
                          </w:p>
                          <w:p w:rsidR="005F0310" w:rsidRPr="009A2D9E" w:rsidRDefault="005F0310" w:rsidP="009D3126">
                            <w:pPr>
                              <w:rPr>
                                <w:rFonts w:ascii="ITC Avant Garde Gothic" w:hAnsi="ITC Avant Garde Gothic"/>
                                <w:b/>
                                <w:sz w:val="16"/>
                                <w:szCs w:val="16"/>
                              </w:rPr>
                            </w:pPr>
                            <w:r w:rsidRPr="009A2D9E">
                              <w:rPr>
                                <w:rFonts w:ascii="ITC Avant Garde Gothic" w:hAnsi="ITC Avant Garde Gothic"/>
                                <w:b/>
                                <w:sz w:val="16"/>
                                <w:szCs w:val="16"/>
                              </w:rPr>
                              <w:t>Western Association of</w:t>
                            </w:r>
                          </w:p>
                          <w:p w:rsidR="005F0310" w:rsidRPr="009A2D9E" w:rsidRDefault="005F0310" w:rsidP="009D3126">
                            <w:pPr>
                              <w:rPr>
                                <w:rFonts w:ascii="ITC Avant Garde Gothic" w:hAnsi="ITC Avant Garde Gothic"/>
                                <w:b/>
                                <w:sz w:val="16"/>
                                <w:szCs w:val="16"/>
                              </w:rPr>
                            </w:pPr>
                            <w:r w:rsidRPr="009A2D9E">
                              <w:rPr>
                                <w:rFonts w:ascii="ITC Avant Garde Gothic" w:hAnsi="ITC Avant Garde Gothic"/>
                                <w:b/>
                                <w:sz w:val="16"/>
                                <w:szCs w:val="16"/>
                              </w:rPr>
                              <w:t>Schools and Colleges</w:t>
                            </w:r>
                          </w:p>
                          <w:p w:rsidR="005F0310" w:rsidRPr="009A2D9E" w:rsidRDefault="005F0310" w:rsidP="009D3126">
                            <w:pPr>
                              <w:rPr>
                                <w:rFonts w:ascii="ITC Avant Garde Gothic" w:hAnsi="ITC Avant Garde Gothic"/>
                                <w:b/>
                                <w:sz w:val="16"/>
                                <w:szCs w:val="16"/>
                              </w:rPr>
                            </w:pPr>
                            <w:r w:rsidRPr="009A2D9E">
                              <w:rPr>
                                <w:rFonts w:ascii="ITC Avant Garde Gothic" w:hAnsi="ITC Avant Garde Gothic"/>
                                <w:b/>
                                <w:sz w:val="16"/>
                                <w:szCs w:val="16"/>
                              </w:rPr>
                              <w:t>ACCJC/WASC</w:t>
                            </w:r>
                          </w:p>
                          <w:p w:rsidR="005F0310" w:rsidRPr="009A2D9E" w:rsidRDefault="005F0310" w:rsidP="009D3126">
                            <w:pPr>
                              <w:rPr>
                                <w:rFonts w:ascii="ITC Avant Garde Gothic" w:hAnsi="ITC Avant Garde Gothic"/>
                                <w:b/>
                                <w:sz w:val="16"/>
                                <w:szCs w:val="16"/>
                              </w:rPr>
                            </w:pPr>
                          </w:p>
                          <w:p w:rsidR="005F0310" w:rsidRPr="009A2D9E" w:rsidRDefault="005F0310" w:rsidP="009D3126">
                            <w:pPr>
                              <w:rPr>
                                <w:rFonts w:ascii="ITC Avant Garde Gothic" w:hAnsi="ITC Avant Garde Gothic" w:cs="Calibri"/>
                                <w:b/>
                                <w:sz w:val="16"/>
                                <w:szCs w:val="16"/>
                              </w:rPr>
                            </w:pPr>
                            <w:r w:rsidRPr="009A2D9E">
                              <w:rPr>
                                <w:rFonts w:ascii="ITC Avant Garde Gothic" w:hAnsi="ITC Avant Garde Gothic" w:cs="Calibri"/>
                                <w:b/>
                                <w:sz w:val="16"/>
                                <w:szCs w:val="16"/>
                              </w:rPr>
                              <w:t xml:space="preserve">WASC Senior College </w:t>
                            </w:r>
                          </w:p>
                          <w:p w:rsidR="005F0310" w:rsidRPr="009A2D9E" w:rsidRDefault="005F0310" w:rsidP="009D3126">
                            <w:pPr>
                              <w:rPr>
                                <w:rFonts w:ascii="ITC Avant Garde Gothic" w:hAnsi="ITC Avant Garde Gothic" w:cs="Calibri"/>
                                <w:b/>
                                <w:sz w:val="16"/>
                                <w:szCs w:val="16"/>
                              </w:rPr>
                            </w:pPr>
                            <w:r w:rsidRPr="009A2D9E">
                              <w:rPr>
                                <w:rFonts w:ascii="ITC Avant Garde Gothic" w:hAnsi="ITC Avant Garde Gothic" w:cs="Calibri"/>
                                <w:b/>
                                <w:sz w:val="16"/>
                                <w:szCs w:val="16"/>
                              </w:rPr>
                              <w:t xml:space="preserve">and University Commission </w:t>
                            </w:r>
                          </w:p>
                          <w:p w:rsidR="005F0310" w:rsidRPr="009A2D9E" w:rsidRDefault="005F0310" w:rsidP="009D3126">
                            <w:pPr>
                              <w:rPr>
                                <w:rFonts w:ascii="Century Gothic" w:hAnsi="Century Gothic"/>
                                <w:b/>
                                <w:sz w:val="16"/>
                                <w:szCs w:val="16"/>
                              </w:rPr>
                            </w:pPr>
                            <w:r w:rsidRPr="009A2D9E">
                              <w:rPr>
                                <w:rFonts w:ascii="ITC Avant Garde Gothic" w:hAnsi="ITC Avant Garde Gothic" w:cs="Calibri"/>
                                <w:b/>
                                <w:sz w:val="16"/>
                                <w:szCs w:val="16"/>
                              </w:rPr>
                              <w:t>WSCUC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1.15pt;width:112.5pt;height:401.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" filled="f" stroked="f">
                <v:textbox>
                  <w:txbxContent>
                    <w:p w:rsidR="005F0310" w:rsidRPr="009A2D9E" w:rsidRDefault="005F0310" w:rsidP="009D3126">
                      <w:pPr>
                        <w:rPr>
                          <w:rFonts w:ascii="ITC Avant Garde Gothic" w:hAnsi="ITC Avant Garde Gothic"/>
                          <w:b/>
                          <w:sz w:val="16"/>
                          <w:szCs w:val="16"/>
                        </w:rPr>
                      </w:pPr>
                      <w:r w:rsidRPr="009A2D9E">
                        <w:rPr>
                          <w:rFonts w:ascii="ITC Avant Garde Gothic" w:hAnsi="ITC Avant Garde Gothic"/>
                          <w:b/>
                          <w:sz w:val="16"/>
                          <w:szCs w:val="16"/>
                        </w:rPr>
                        <w:t>Middle States Commission</w:t>
                      </w:r>
                    </w:p>
                    <w:p w:rsidR="005F0310" w:rsidRPr="009A2D9E" w:rsidRDefault="005F0310" w:rsidP="009D3126">
                      <w:pPr>
                        <w:rPr>
                          <w:rFonts w:ascii="ITC Avant Garde Gothic" w:hAnsi="ITC Avant Garde Gothic"/>
                          <w:b/>
                          <w:sz w:val="16"/>
                          <w:szCs w:val="16"/>
                        </w:rPr>
                      </w:pPr>
                      <w:proofErr w:type="gramStart"/>
                      <w:r w:rsidRPr="009A2D9E">
                        <w:rPr>
                          <w:rFonts w:ascii="ITC Avant Garde Gothic" w:hAnsi="ITC Avant Garde Gothic"/>
                          <w:b/>
                          <w:sz w:val="16"/>
                          <w:szCs w:val="16"/>
                        </w:rPr>
                        <w:t>on</w:t>
                      </w:r>
                      <w:proofErr w:type="gramEnd"/>
                      <w:r w:rsidRPr="009A2D9E">
                        <w:rPr>
                          <w:rFonts w:ascii="ITC Avant Garde Gothic" w:hAnsi="ITC Avant Garde Gothic"/>
                          <w:b/>
                          <w:sz w:val="16"/>
                          <w:szCs w:val="16"/>
                        </w:rPr>
                        <w:t xml:space="preserve"> Higher Education</w:t>
                      </w:r>
                    </w:p>
                    <w:p w:rsidR="005F0310" w:rsidRPr="009A2D9E" w:rsidRDefault="005F0310" w:rsidP="009D3126">
                      <w:pPr>
                        <w:rPr>
                          <w:rFonts w:ascii="ITC Avant Garde Gothic" w:hAnsi="ITC Avant Garde Gothic"/>
                          <w:b/>
                          <w:sz w:val="16"/>
                          <w:szCs w:val="16"/>
                        </w:rPr>
                      </w:pPr>
                      <w:r w:rsidRPr="009A2D9E">
                        <w:rPr>
                          <w:rFonts w:ascii="ITC Avant Garde Gothic" w:hAnsi="ITC Avant Garde Gothic"/>
                          <w:b/>
                          <w:sz w:val="16"/>
                          <w:szCs w:val="16"/>
                        </w:rPr>
                        <w:t>MSCHE</w:t>
                      </w:r>
                    </w:p>
                    <w:p w:rsidR="005F0310" w:rsidRPr="009A2D9E" w:rsidRDefault="005F0310" w:rsidP="009D3126">
                      <w:pPr>
                        <w:rPr>
                          <w:rFonts w:ascii="ITC Avant Garde Gothic" w:hAnsi="ITC Avant Garde Gothic"/>
                          <w:b/>
                          <w:sz w:val="16"/>
                          <w:szCs w:val="16"/>
                        </w:rPr>
                      </w:pPr>
                    </w:p>
                    <w:p w:rsidR="005F0310" w:rsidRPr="009A2D9E" w:rsidRDefault="005F0310" w:rsidP="009D3126">
                      <w:pPr>
                        <w:rPr>
                          <w:rFonts w:ascii="ITC Avant Garde Gothic" w:hAnsi="ITC Avant Garde Gothic"/>
                          <w:b/>
                          <w:sz w:val="16"/>
                          <w:szCs w:val="16"/>
                        </w:rPr>
                      </w:pPr>
                      <w:r w:rsidRPr="009A2D9E">
                        <w:rPr>
                          <w:rFonts w:ascii="ITC Avant Garde Gothic" w:hAnsi="ITC Avant Garde Gothic"/>
                          <w:b/>
                          <w:sz w:val="16"/>
                          <w:szCs w:val="16"/>
                        </w:rPr>
                        <w:t xml:space="preserve">The Commission </w:t>
                      </w:r>
                    </w:p>
                    <w:p w:rsidR="005F0310" w:rsidRPr="009A2D9E" w:rsidRDefault="005F0310" w:rsidP="009D3126">
                      <w:pPr>
                        <w:rPr>
                          <w:rFonts w:ascii="ITC Avant Garde Gothic" w:hAnsi="ITC Avant Garde Gothic"/>
                          <w:b/>
                          <w:sz w:val="16"/>
                          <w:szCs w:val="16"/>
                        </w:rPr>
                      </w:pPr>
                      <w:proofErr w:type="gramStart"/>
                      <w:r w:rsidRPr="009A2D9E">
                        <w:rPr>
                          <w:rFonts w:ascii="ITC Avant Garde Gothic" w:hAnsi="ITC Avant Garde Gothic"/>
                          <w:b/>
                          <w:sz w:val="16"/>
                          <w:szCs w:val="16"/>
                        </w:rPr>
                        <w:t>on</w:t>
                      </w:r>
                      <w:proofErr w:type="gramEnd"/>
                      <w:r w:rsidRPr="009A2D9E">
                        <w:rPr>
                          <w:rFonts w:ascii="ITC Avant Garde Gothic" w:hAnsi="ITC Avant Garde Gothic"/>
                          <w:b/>
                          <w:sz w:val="16"/>
                          <w:szCs w:val="16"/>
                        </w:rPr>
                        <w:t xml:space="preserve"> Institutions of Higher </w:t>
                      </w:r>
                    </w:p>
                    <w:p w:rsidR="005F0310" w:rsidRPr="009A2D9E" w:rsidRDefault="005F0310" w:rsidP="009D3126">
                      <w:pPr>
                        <w:rPr>
                          <w:rFonts w:ascii="ITC Avant Garde Gothic" w:hAnsi="ITC Avant Garde Gothic"/>
                          <w:b/>
                          <w:sz w:val="16"/>
                          <w:szCs w:val="16"/>
                        </w:rPr>
                      </w:pPr>
                      <w:r w:rsidRPr="009A2D9E">
                        <w:rPr>
                          <w:rFonts w:ascii="ITC Avant Garde Gothic" w:hAnsi="ITC Avant Garde Gothic"/>
                          <w:b/>
                          <w:sz w:val="16"/>
                          <w:szCs w:val="16"/>
                        </w:rPr>
                        <w:t xml:space="preserve">Education, New England </w:t>
                      </w:r>
                    </w:p>
                    <w:p w:rsidR="005F0310" w:rsidRPr="009A2D9E" w:rsidRDefault="005F0310" w:rsidP="009D3126">
                      <w:pPr>
                        <w:rPr>
                          <w:rFonts w:ascii="ITC Avant Garde Gothic" w:hAnsi="ITC Avant Garde Gothic"/>
                          <w:b/>
                          <w:sz w:val="16"/>
                          <w:szCs w:val="16"/>
                        </w:rPr>
                      </w:pPr>
                      <w:r w:rsidRPr="009A2D9E">
                        <w:rPr>
                          <w:rFonts w:ascii="ITC Avant Garde Gothic" w:hAnsi="ITC Avant Garde Gothic"/>
                          <w:b/>
                          <w:sz w:val="16"/>
                          <w:szCs w:val="16"/>
                        </w:rPr>
                        <w:t>Association of Schools</w:t>
                      </w:r>
                    </w:p>
                    <w:p w:rsidR="005F0310" w:rsidRPr="009A2D9E" w:rsidRDefault="005F0310" w:rsidP="009D3126">
                      <w:pPr>
                        <w:rPr>
                          <w:rFonts w:ascii="ITC Avant Garde Gothic" w:hAnsi="ITC Avant Garde Gothic"/>
                          <w:b/>
                          <w:sz w:val="16"/>
                          <w:szCs w:val="16"/>
                        </w:rPr>
                      </w:pPr>
                      <w:proofErr w:type="gramStart"/>
                      <w:r w:rsidRPr="009A2D9E">
                        <w:rPr>
                          <w:rFonts w:ascii="ITC Avant Garde Gothic" w:hAnsi="ITC Avant Garde Gothic"/>
                          <w:b/>
                          <w:sz w:val="16"/>
                          <w:szCs w:val="16"/>
                        </w:rPr>
                        <w:t>and</w:t>
                      </w:r>
                      <w:proofErr w:type="gramEnd"/>
                      <w:r w:rsidRPr="009A2D9E">
                        <w:rPr>
                          <w:rFonts w:ascii="ITC Avant Garde Gothic" w:hAnsi="ITC Avant Garde Gothic"/>
                          <w:b/>
                          <w:sz w:val="16"/>
                          <w:szCs w:val="16"/>
                        </w:rPr>
                        <w:t xml:space="preserve"> Colleges</w:t>
                      </w:r>
                    </w:p>
                    <w:p w:rsidR="005F0310" w:rsidRPr="009A2D9E" w:rsidRDefault="005F0310" w:rsidP="009D3126">
                      <w:pPr>
                        <w:rPr>
                          <w:rFonts w:ascii="ITC Avant Garde Gothic" w:hAnsi="ITC Avant Garde Gothic"/>
                          <w:b/>
                          <w:sz w:val="16"/>
                          <w:szCs w:val="16"/>
                        </w:rPr>
                      </w:pPr>
                      <w:r w:rsidRPr="009A2D9E">
                        <w:rPr>
                          <w:rFonts w:ascii="ITC Avant Garde Gothic" w:hAnsi="ITC Avant Garde Gothic"/>
                          <w:b/>
                          <w:sz w:val="16"/>
                          <w:szCs w:val="16"/>
                        </w:rPr>
                        <w:t>NEASC</w:t>
                      </w:r>
                    </w:p>
                    <w:p w:rsidR="005F0310" w:rsidRPr="009A2D9E" w:rsidRDefault="005F0310" w:rsidP="009D3126">
                      <w:pPr>
                        <w:rPr>
                          <w:rFonts w:ascii="ITC Avant Garde Gothic" w:hAnsi="ITC Avant Garde Gothic"/>
                          <w:b/>
                          <w:sz w:val="16"/>
                          <w:szCs w:val="16"/>
                        </w:rPr>
                      </w:pPr>
                    </w:p>
                    <w:p w:rsidR="005F0310" w:rsidRPr="009A2D9E" w:rsidRDefault="005F0310" w:rsidP="009D3126">
                      <w:pPr>
                        <w:rPr>
                          <w:rFonts w:ascii="ITC Avant Garde Gothic" w:hAnsi="ITC Avant Garde Gothic"/>
                          <w:b/>
                          <w:sz w:val="16"/>
                          <w:szCs w:val="16"/>
                        </w:rPr>
                      </w:pPr>
                      <w:r w:rsidRPr="009A2D9E">
                        <w:rPr>
                          <w:rFonts w:ascii="ITC Avant Garde Gothic" w:hAnsi="ITC Avant Garde Gothic"/>
                          <w:b/>
                          <w:sz w:val="16"/>
                          <w:szCs w:val="16"/>
                        </w:rPr>
                        <w:t>Higher Learning Commission</w:t>
                      </w:r>
                    </w:p>
                    <w:p w:rsidR="005F0310" w:rsidRPr="009A2D9E" w:rsidRDefault="005F0310" w:rsidP="009D3126">
                      <w:pPr>
                        <w:rPr>
                          <w:rFonts w:ascii="ITC Avant Garde Gothic" w:hAnsi="ITC Avant Garde Gothic"/>
                          <w:b/>
                          <w:sz w:val="16"/>
                          <w:szCs w:val="16"/>
                        </w:rPr>
                      </w:pPr>
                      <w:proofErr w:type="gramStart"/>
                      <w:r w:rsidRPr="009A2D9E">
                        <w:rPr>
                          <w:rFonts w:ascii="ITC Avant Garde Gothic" w:hAnsi="ITC Avant Garde Gothic"/>
                          <w:b/>
                          <w:sz w:val="16"/>
                          <w:szCs w:val="16"/>
                        </w:rPr>
                        <w:t>of</w:t>
                      </w:r>
                      <w:proofErr w:type="gramEnd"/>
                      <w:r w:rsidRPr="009A2D9E">
                        <w:rPr>
                          <w:rFonts w:ascii="ITC Avant Garde Gothic" w:hAnsi="ITC Avant Garde Gothic"/>
                          <w:b/>
                          <w:sz w:val="16"/>
                          <w:szCs w:val="16"/>
                        </w:rPr>
                        <w:t xml:space="preserve"> the North Central </w:t>
                      </w:r>
                    </w:p>
                    <w:p w:rsidR="005F0310" w:rsidRPr="009A2D9E" w:rsidRDefault="005F0310" w:rsidP="009D3126">
                      <w:pPr>
                        <w:rPr>
                          <w:rFonts w:ascii="ITC Avant Garde Gothic" w:hAnsi="ITC Avant Garde Gothic"/>
                          <w:b/>
                          <w:sz w:val="16"/>
                          <w:szCs w:val="16"/>
                        </w:rPr>
                      </w:pPr>
                      <w:r w:rsidRPr="009A2D9E">
                        <w:rPr>
                          <w:rFonts w:ascii="ITC Avant Garde Gothic" w:hAnsi="ITC Avant Garde Gothic"/>
                          <w:b/>
                          <w:sz w:val="16"/>
                          <w:szCs w:val="16"/>
                        </w:rPr>
                        <w:t>Association of Colleges</w:t>
                      </w:r>
                    </w:p>
                    <w:p w:rsidR="005F0310" w:rsidRPr="009A2D9E" w:rsidRDefault="005F0310" w:rsidP="009D3126">
                      <w:pPr>
                        <w:rPr>
                          <w:rFonts w:ascii="ITC Avant Garde Gothic" w:hAnsi="ITC Avant Garde Gothic"/>
                          <w:b/>
                          <w:sz w:val="16"/>
                          <w:szCs w:val="16"/>
                        </w:rPr>
                      </w:pPr>
                      <w:proofErr w:type="gramStart"/>
                      <w:r w:rsidRPr="009A2D9E">
                        <w:rPr>
                          <w:rFonts w:ascii="ITC Avant Garde Gothic" w:hAnsi="ITC Avant Garde Gothic"/>
                          <w:b/>
                          <w:sz w:val="16"/>
                          <w:szCs w:val="16"/>
                        </w:rPr>
                        <w:t>and</w:t>
                      </w:r>
                      <w:proofErr w:type="gramEnd"/>
                      <w:r w:rsidRPr="009A2D9E">
                        <w:rPr>
                          <w:rFonts w:ascii="ITC Avant Garde Gothic" w:hAnsi="ITC Avant Garde Gothic"/>
                          <w:b/>
                          <w:sz w:val="16"/>
                          <w:szCs w:val="16"/>
                        </w:rPr>
                        <w:t xml:space="preserve"> Schools</w:t>
                      </w:r>
                    </w:p>
                    <w:p w:rsidR="005F0310" w:rsidRPr="009A2D9E" w:rsidRDefault="005F0310" w:rsidP="009D3126">
                      <w:pPr>
                        <w:rPr>
                          <w:rFonts w:ascii="ITC Avant Garde Gothic" w:hAnsi="ITC Avant Garde Gothic"/>
                          <w:b/>
                          <w:sz w:val="16"/>
                          <w:szCs w:val="16"/>
                        </w:rPr>
                      </w:pPr>
                      <w:r w:rsidRPr="009A2D9E">
                        <w:rPr>
                          <w:rFonts w:ascii="ITC Avant Garde Gothic" w:hAnsi="ITC Avant Garde Gothic"/>
                          <w:b/>
                          <w:sz w:val="16"/>
                          <w:szCs w:val="16"/>
                        </w:rPr>
                        <w:t>HLCNCA</w:t>
                      </w:r>
                    </w:p>
                    <w:p w:rsidR="005F0310" w:rsidRPr="009A2D9E" w:rsidRDefault="005F0310" w:rsidP="009D3126">
                      <w:pPr>
                        <w:rPr>
                          <w:rFonts w:ascii="ITC Avant Garde Gothic" w:hAnsi="ITC Avant Garde Gothic"/>
                          <w:b/>
                          <w:sz w:val="16"/>
                          <w:szCs w:val="16"/>
                        </w:rPr>
                      </w:pPr>
                    </w:p>
                    <w:p w:rsidR="005F0310" w:rsidRPr="009A2D9E" w:rsidRDefault="005F0310" w:rsidP="009D3126">
                      <w:pPr>
                        <w:rPr>
                          <w:rFonts w:ascii="ITC Avant Garde Gothic" w:hAnsi="ITC Avant Garde Gothic"/>
                          <w:b/>
                          <w:sz w:val="16"/>
                          <w:szCs w:val="16"/>
                        </w:rPr>
                      </w:pPr>
                      <w:r w:rsidRPr="009A2D9E">
                        <w:rPr>
                          <w:rFonts w:ascii="ITC Avant Garde Gothic" w:hAnsi="ITC Avant Garde Gothic"/>
                          <w:b/>
                          <w:sz w:val="16"/>
                          <w:szCs w:val="16"/>
                        </w:rPr>
                        <w:t>Northwest Commission</w:t>
                      </w:r>
                    </w:p>
                    <w:p w:rsidR="005F0310" w:rsidRPr="009A2D9E" w:rsidRDefault="005F0310" w:rsidP="009D3126">
                      <w:pPr>
                        <w:rPr>
                          <w:rFonts w:ascii="ITC Avant Garde Gothic" w:hAnsi="ITC Avant Garde Gothic"/>
                          <w:b/>
                          <w:sz w:val="16"/>
                          <w:szCs w:val="16"/>
                        </w:rPr>
                      </w:pPr>
                      <w:proofErr w:type="gramStart"/>
                      <w:r w:rsidRPr="009A2D9E">
                        <w:rPr>
                          <w:rFonts w:ascii="ITC Avant Garde Gothic" w:hAnsi="ITC Avant Garde Gothic"/>
                          <w:b/>
                          <w:sz w:val="16"/>
                          <w:szCs w:val="16"/>
                        </w:rPr>
                        <w:t>on</w:t>
                      </w:r>
                      <w:proofErr w:type="gramEnd"/>
                      <w:r w:rsidRPr="009A2D9E">
                        <w:rPr>
                          <w:rFonts w:ascii="ITC Avant Garde Gothic" w:hAnsi="ITC Avant Garde Gothic"/>
                          <w:b/>
                          <w:sz w:val="16"/>
                          <w:szCs w:val="16"/>
                        </w:rPr>
                        <w:t xml:space="preserve"> Colleges and Universities</w:t>
                      </w:r>
                    </w:p>
                    <w:p w:rsidR="005F0310" w:rsidRPr="009A2D9E" w:rsidRDefault="005F0310" w:rsidP="009D3126">
                      <w:pPr>
                        <w:rPr>
                          <w:rFonts w:ascii="ITC Avant Garde Gothic" w:hAnsi="ITC Avant Garde Gothic"/>
                          <w:b/>
                          <w:sz w:val="16"/>
                          <w:szCs w:val="16"/>
                        </w:rPr>
                      </w:pPr>
                      <w:r w:rsidRPr="009A2D9E">
                        <w:rPr>
                          <w:rFonts w:ascii="ITC Avant Garde Gothic" w:hAnsi="ITC Avant Garde Gothic"/>
                          <w:b/>
                          <w:sz w:val="16"/>
                          <w:szCs w:val="16"/>
                        </w:rPr>
                        <w:t>NWCCU</w:t>
                      </w:r>
                    </w:p>
                    <w:p w:rsidR="005F0310" w:rsidRPr="009A2D9E" w:rsidRDefault="005F0310" w:rsidP="009D3126">
                      <w:pPr>
                        <w:rPr>
                          <w:rFonts w:ascii="ITC Avant Garde Gothic" w:hAnsi="ITC Avant Garde Gothic"/>
                          <w:b/>
                          <w:sz w:val="16"/>
                          <w:szCs w:val="16"/>
                        </w:rPr>
                      </w:pPr>
                    </w:p>
                    <w:p w:rsidR="005F0310" w:rsidRPr="009A2D9E" w:rsidRDefault="005F0310" w:rsidP="009D3126">
                      <w:pPr>
                        <w:rPr>
                          <w:rFonts w:ascii="ITC Avant Garde Gothic" w:hAnsi="ITC Avant Garde Gothic"/>
                          <w:b/>
                          <w:sz w:val="16"/>
                          <w:szCs w:val="16"/>
                        </w:rPr>
                      </w:pPr>
                      <w:r w:rsidRPr="009A2D9E">
                        <w:rPr>
                          <w:rFonts w:ascii="ITC Avant Garde Gothic" w:hAnsi="ITC Avant Garde Gothic"/>
                          <w:b/>
                          <w:sz w:val="16"/>
                          <w:szCs w:val="16"/>
                        </w:rPr>
                        <w:t>Southern Association</w:t>
                      </w:r>
                    </w:p>
                    <w:p w:rsidR="005F0310" w:rsidRPr="009A2D9E" w:rsidRDefault="005F0310" w:rsidP="009D3126">
                      <w:pPr>
                        <w:rPr>
                          <w:rFonts w:ascii="ITC Avant Garde Gothic" w:hAnsi="ITC Avant Garde Gothic"/>
                          <w:b/>
                          <w:sz w:val="16"/>
                          <w:szCs w:val="16"/>
                        </w:rPr>
                      </w:pPr>
                      <w:proofErr w:type="gramStart"/>
                      <w:r w:rsidRPr="009A2D9E">
                        <w:rPr>
                          <w:rFonts w:ascii="ITC Avant Garde Gothic" w:hAnsi="ITC Avant Garde Gothic"/>
                          <w:b/>
                          <w:sz w:val="16"/>
                          <w:szCs w:val="16"/>
                        </w:rPr>
                        <w:t>of</w:t>
                      </w:r>
                      <w:proofErr w:type="gramEnd"/>
                      <w:r w:rsidRPr="009A2D9E">
                        <w:rPr>
                          <w:rFonts w:ascii="ITC Avant Garde Gothic" w:hAnsi="ITC Avant Garde Gothic"/>
                          <w:b/>
                          <w:sz w:val="16"/>
                          <w:szCs w:val="16"/>
                        </w:rPr>
                        <w:t xml:space="preserve"> Colleges and Schools</w:t>
                      </w:r>
                    </w:p>
                    <w:p w:rsidR="005F0310" w:rsidRPr="009A2D9E" w:rsidRDefault="005F0310" w:rsidP="009D3126">
                      <w:pPr>
                        <w:rPr>
                          <w:rFonts w:ascii="ITC Avant Garde Gothic" w:hAnsi="ITC Avant Garde Gothic"/>
                          <w:b/>
                          <w:sz w:val="16"/>
                          <w:szCs w:val="16"/>
                        </w:rPr>
                      </w:pPr>
                      <w:r w:rsidRPr="009A2D9E">
                        <w:rPr>
                          <w:rFonts w:ascii="ITC Avant Garde Gothic" w:hAnsi="ITC Avant Garde Gothic"/>
                          <w:b/>
                          <w:sz w:val="16"/>
                          <w:szCs w:val="16"/>
                        </w:rPr>
                        <w:t>Commission on Colleges</w:t>
                      </w:r>
                    </w:p>
                    <w:p w:rsidR="005F0310" w:rsidRPr="009A2D9E" w:rsidRDefault="005F0310" w:rsidP="009D3126">
                      <w:pPr>
                        <w:rPr>
                          <w:rFonts w:ascii="ITC Avant Garde Gothic" w:hAnsi="ITC Avant Garde Gothic"/>
                          <w:b/>
                          <w:sz w:val="16"/>
                          <w:szCs w:val="16"/>
                        </w:rPr>
                      </w:pPr>
                      <w:r w:rsidRPr="009A2D9E">
                        <w:rPr>
                          <w:rFonts w:ascii="ITC Avant Garde Gothic" w:hAnsi="ITC Avant Garde Gothic"/>
                          <w:b/>
                          <w:sz w:val="16"/>
                          <w:szCs w:val="16"/>
                        </w:rPr>
                        <w:t>SACSOC</w:t>
                      </w:r>
                    </w:p>
                    <w:p w:rsidR="005F0310" w:rsidRPr="009A2D9E" w:rsidRDefault="005F0310" w:rsidP="009D3126">
                      <w:pPr>
                        <w:rPr>
                          <w:rFonts w:ascii="ITC Avant Garde Gothic" w:hAnsi="ITC Avant Garde Gothic"/>
                          <w:b/>
                          <w:sz w:val="16"/>
                          <w:szCs w:val="16"/>
                        </w:rPr>
                      </w:pPr>
                    </w:p>
                    <w:p w:rsidR="005F0310" w:rsidRPr="009A2D9E" w:rsidRDefault="005F0310" w:rsidP="009D3126">
                      <w:pPr>
                        <w:rPr>
                          <w:rFonts w:ascii="ITC Avant Garde Gothic" w:hAnsi="ITC Avant Garde Gothic"/>
                          <w:b/>
                          <w:sz w:val="16"/>
                          <w:szCs w:val="16"/>
                        </w:rPr>
                      </w:pPr>
                      <w:r w:rsidRPr="009A2D9E">
                        <w:rPr>
                          <w:rFonts w:ascii="ITC Avant Garde Gothic" w:hAnsi="ITC Avant Garde Gothic"/>
                          <w:b/>
                          <w:sz w:val="16"/>
                          <w:szCs w:val="16"/>
                        </w:rPr>
                        <w:t xml:space="preserve">Accrediting Commission </w:t>
                      </w:r>
                    </w:p>
                    <w:p w:rsidR="005F0310" w:rsidRPr="009A2D9E" w:rsidRDefault="005F0310" w:rsidP="009D3126">
                      <w:pPr>
                        <w:rPr>
                          <w:rFonts w:ascii="ITC Avant Garde Gothic" w:hAnsi="ITC Avant Garde Gothic"/>
                          <w:b/>
                          <w:sz w:val="16"/>
                          <w:szCs w:val="16"/>
                        </w:rPr>
                      </w:pPr>
                      <w:proofErr w:type="gramStart"/>
                      <w:r w:rsidRPr="009A2D9E">
                        <w:rPr>
                          <w:rFonts w:ascii="ITC Avant Garde Gothic" w:hAnsi="ITC Avant Garde Gothic"/>
                          <w:b/>
                          <w:sz w:val="16"/>
                          <w:szCs w:val="16"/>
                        </w:rPr>
                        <w:t>for</w:t>
                      </w:r>
                      <w:proofErr w:type="gramEnd"/>
                      <w:r w:rsidRPr="009A2D9E">
                        <w:rPr>
                          <w:rFonts w:ascii="ITC Avant Garde Gothic" w:hAnsi="ITC Avant Garde Gothic"/>
                          <w:b/>
                          <w:sz w:val="16"/>
                          <w:szCs w:val="16"/>
                        </w:rPr>
                        <w:t xml:space="preserve"> Community and </w:t>
                      </w:r>
                    </w:p>
                    <w:p w:rsidR="005F0310" w:rsidRPr="009A2D9E" w:rsidRDefault="005F0310" w:rsidP="009D3126">
                      <w:pPr>
                        <w:rPr>
                          <w:rFonts w:ascii="ITC Avant Garde Gothic" w:hAnsi="ITC Avant Garde Gothic"/>
                          <w:b/>
                          <w:sz w:val="16"/>
                          <w:szCs w:val="16"/>
                        </w:rPr>
                      </w:pPr>
                      <w:r w:rsidRPr="009A2D9E">
                        <w:rPr>
                          <w:rFonts w:ascii="ITC Avant Garde Gothic" w:hAnsi="ITC Avant Garde Gothic"/>
                          <w:b/>
                          <w:sz w:val="16"/>
                          <w:szCs w:val="16"/>
                        </w:rPr>
                        <w:t xml:space="preserve">Junior Colleges, </w:t>
                      </w:r>
                    </w:p>
                    <w:p w:rsidR="005F0310" w:rsidRPr="009A2D9E" w:rsidRDefault="005F0310" w:rsidP="009D3126">
                      <w:pPr>
                        <w:rPr>
                          <w:rFonts w:ascii="ITC Avant Garde Gothic" w:hAnsi="ITC Avant Garde Gothic"/>
                          <w:b/>
                          <w:sz w:val="16"/>
                          <w:szCs w:val="16"/>
                        </w:rPr>
                      </w:pPr>
                      <w:r w:rsidRPr="009A2D9E">
                        <w:rPr>
                          <w:rFonts w:ascii="ITC Avant Garde Gothic" w:hAnsi="ITC Avant Garde Gothic"/>
                          <w:b/>
                          <w:sz w:val="16"/>
                          <w:szCs w:val="16"/>
                        </w:rPr>
                        <w:t>Western Association of</w:t>
                      </w:r>
                    </w:p>
                    <w:p w:rsidR="005F0310" w:rsidRPr="009A2D9E" w:rsidRDefault="005F0310" w:rsidP="009D3126">
                      <w:pPr>
                        <w:rPr>
                          <w:rFonts w:ascii="ITC Avant Garde Gothic" w:hAnsi="ITC Avant Garde Gothic"/>
                          <w:b/>
                          <w:sz w:val="16"/>
                          <w:szCs w:val="16"/>
                        </w:rPr>
                      </w:pPr>
                      <w:r w:rsidRPr="009A2D9E">
                        <w:rPr>
                          <w:rFonts w:ascii="ITC Avant Garde Gothic" w:hAnsi="ITC Avant Garde Gothic"/>
                          <w:b/>
                          <w:sz w:val="16"/>
                          <w:szCs w:val="16"/>
                        </w:rPr>
                        <w:t>Schools and Colleges</w:t>
                      </w:r>
                    </w:p>
                    <w:p w:rsidR="005F0310" w:rsidRPr="009A2D9E" w:rsidRDefault="005F0310" w:rsidP="009D3126">
                      <w:pPr>
                        <w:rPr>
                          <w:rFonts w:ascii="ITC Avant Garde Gothic" w:hAnsi="ITC Avant Garde Gothic"/>
                          <w:b/>
                          <w:sz w:val="16"/>
                          <w:szCs w:val="16"/>
                        </w:rPr>
                      </w:pPr>
                      <w:r w:rsidRPr="009A2D9E">
                        <w:rPr>
                          <w:rFonts w:ascii="ITC Avant Garde Gothic" w:hAnsi="ITC Avant Garde Gothic"/>
                          <w:b/>
                          <w:sz w:val="16"/>
                          <w:szCs w:val="16"/>
                        </w:rPr>
                        <w:t>ACCJC/WASC</w:t>
                      </w:r>
                    </w:p>
                    <w:p w:rsidR="005F0310" w:rsidRPr="009A2D9E" w:rsidRDefault="005F0310" w:rsidP="009D3126">
                      <w:pPr>
                        <w:rPr>
                          <w:rFonts w:ascii="ITC Avant Garde Gothic" w:hAnsi="ITC Avant Garde Gothic"/>
                          <w:b/>
                          <w:sz w:val="16"/>
                          <w:szCs w:val="16"/>
                        </w:rPr>
                      </w:pPr>
                    </w:p>
                    <w:p w:rsidR="005F0310" w:rsidRPr="009A2D9E" w:rsidRDefault="005F0310" w:rsidP="009D3126">
                      <w:pPr>
                        <w:rPr>
                          <w:rFonts w:ascii="ITC Avant Garde Gothic" w:hAnsi="ITC Avant Garde Gothic" w:cs="Calibri"/>
                          <w:b/>
                          <w:sz w:val="16"/>
                          <w:szCs w:val="16"/>
                        </w:rPr>
                      </w:pPr>
                      <w:r w:rsidRPr="009A2D9E">
                        <w:rPr>
                          <w:rFonts w:ascii="ITC Avant Garde Gothic" w:hAnsi="ITC Avant Garde Gothic" w:cs="Calibri"/>
                          <w:b/>
                          <w:sz w:val="16"/>
                          <w:szCs w:val="16"/>
                        </w:rPr>
                        <w:t xml:space="preserve">WASC Senior College </w:t>
                      </w:r>
                    </w:p>
                    <w:p w:rsidR="005F0310" w:rsidRPr="009A2D9E" w:rsidRDefault="005F0310" w:rsidP="009D3126">
                      <w:pPr>
                        <w:rPr>
                          <w:rFonts w:ascii="ITC Avant Garde Gothic" w:hAnsi="ITC Avant Garde Gothic" w:cs="Calibri"/>
                          <w:b/>
                          <w:sz w:val="16"/>
                          <w:szCs w:val="16"/>
                        </w:rPr>
                      </w:pPr>
                      <w:proofErr w:type="gramStart"/>
                      <w:r w:rsidRPr="009A2D9E">
                        <w:rPr>
                          <w:rFonts w:ascii="ITC Avant Garde Gothic" w:hAnsi="ITC Avant Garde Gothic" w:cs="Calibri"/>
                          <w:b/>
                          <w:sz w:val="16"/>
                          <w:szCs w:val="16"/>
                        </w:rPr>
                        <w:t>and</w:t>
                      </w:r>
                      <w:proofErr w:type="gramEnd"/>
                      <w:r w:rsidRPr="009A2D9E">
                        <w:rPr>
                          <w:rFonts w:ascii="ITC Avant Garde Gothic" w:hAnsi="ITC Avant Garde Gothic" w:cs="Calibri"/>
                          <w:b/>
                          <w:sz w:val="16"/>
                          <w:szCs w:val="16"/>
                        </w:rPr>
                        <w:t xml:space="preserve"> University Commission </w:t>
                      </w:r>
                    </w:p>
                    <w:p w:rsidR="005F0310" w:rsidRPr="009A2D9E" w:rsidRDefault="005F0310" w:rsidP="009D3126">
                      <w:pPr>
                        <w:rPr>
                          <w:rFonts w:ascii="Century Gothic" w:hAnsi="Century Gothic"/>
                          <w:b/>
                          <w:sz w:val="16"/>
                          <w:szCs w:val="16"/>
                        </w:rPr>
                      </w:pPr>
                      <w:r w:rsidRPr="009A2D9E">
                        <w:rPr>
                          <w:rFonts w:ascii="ITC Avant Garde Gothic" w:hAnsi="ITC Avant Garde Gothic" w:cs="Calibri"/>
                          <w:b/>
                          <w:sz w:val="16"/>
                          <w:szCs w:val="16"/>
                        </w:rPr>
                        <w:t>WSCUC</w:t>
                      </w:r>
                    </w:p>
                  </w:txbxContent>
                </v:textbox>
                <w10:wrap type="square" anchorx="margin"/>
              </v:shape>
            </w:pict>
          </mc:Fallback>
        </mc:AlternateContent>
      </w:r>
      <w:r w:rsidR="00EE7627" w:rsidRPr="002E3648">
        <w:rPr>
          <w:rFonts w:asciiTheme="majorHAnsi" w:hAnsiTheme="majorHAnsi"/>
        </w:rPr>
        <w:t>TO:</w:t>
      </w:r>
      <w:r w:rsidR="00EE7627" w:rsidRPr="002E3648">
        <w:rPr>
          <w:rFonts w:asciiTheme="majorHAnsi" w:hAnsiTheme="majorHAnsi"/>
        </w:rPr>
        <w:tab/>
      </w:r>
      <w:r w:rsidR="009A2D9E" w:rsidRPr="002E3648">
        <w:rPr>
          <w:rFonts w:asciiTheme="majorHAnsi" w:hAnsiTheme="majorHAnsi"/>
        </w:rPr>
        <w:t>The Honorable Lamar Alexander, Chairman</w:t>
      </w:r>
    </w:p>
    <w:p w:rsidR="009A2D9E" w:rsidRPr="002E3648" w:rsidRDefault="009A2D9E" w:rsidP="00EE7627">
      <w:pPr>
        <w:pStyle w:val="NoSpacing"/>
        <w:ind w:left="1440"/>
        <w:rPr>
          <w:rFonts w:asciiTheme="majorHAnsi" w:hAnsiTheme="majorHAnsi"/>
        </w:rPr>
      </w:pPr>
      <w:r w:rsidRPr="002E3648">
        <w:rPr>
          <w:rFonts w:asciiTheme="majorHAnsi" w:hAnsiTheme="majorHAnsi"/>
        </w:rPr>
        <w:t>Senate Committee on Health, Education, Labor and Pensions</w:t>
      </w:r>
    </w:p>
    <w:p w:rsidR="009A2D9E" w:rsidRPr="002E3648" w:rsidRDefault="009A2D9E" w:rsidP="00EE7627">
      <w:pPr>
        <w:pStyle w:val="NoSpacing"/>
        <w:ind w:left="1440"/>
        <w:rPr>
          <w:rFonts w:asciiTheme="majorHAnsi" w:hAnsiTheme="majorHAnsi"/>
        </w:rPr>
      </w:pPr>
      <w:r w:rsidRPr="002E3648">
        <w:rPr>
          <w:rFonts w:asciiTheme="majorHAnsi" w:hAnsiTheme="majorHAnsi"/>
        </w:rPr>
        <w:t>U.S. Senate</w:t>
      </w:r>
      <w:r w:rsidR="00216264" w:rsidRPr="002E3648">
        <w:rPr>
          <w:rFonts w:asciiTheme="majorHAnsi" w:hAnsiTheme="majorHAnsi"/>
        </w:rPr>
        <w:t xml:space="preserve"> </w:t>
      </w:r>
    </w:p>
    <w:p w:rsidR="009A2D9E" w:rsidRDefault="009A2D9E" w:rsidP="009A2D9E">
      <w:pPr>
        <w:pStyle w:val="NoSpacing"/>
      </w:pPr>
    </w:p>
    <w:p w:rsidR="009A2D9E" w:rsidRPr="002E3648" w:rsidRDefault="009A2D9E" w:rsidP="00EE7627">
      <w:pPr>
        <w:pStyle w:val="NoSpacing"/>
        <w:rPr>
          <w:rFonts w:asciiTheme="majorHAnsi" w:hAnsiTheme="majorHAnsi"/>
          <w:b/>
        </w:rPr>
      </w:pPr>
      <w:r w:rsidRPr="002E3648">
        <w:rPr>
          <w:rFonts w:asciiTheme="majorHAnsi" w:hAnsiTheme="majorHAnsi"/>
        </w:rPr>
        <w:t xml:space="preserve">SUBJECT: </w:t>
      </w:r>
      <w:r w:rsidRPr="002E3648">
        <w:rPr>
          <w:rFonts w:asciiTheme="majorHAnsi" w:hAnsiTheme="majorHAnsi"/>
          <w:b/>
        </w:rPr>
        <w:t>Comments on Higher Education Accreditation</w:t>
      </w:r>
      <w:r w:rsidR="000D4793" w:rsidRPr="002E3648">
        <w:rPr>
          <w:rFonts w:asciiTheme="majorHAnsi" w:hAnsiTheme="majorHAnsi"/>
          <w:b/>
        </w:rPr>
        <w:t>:</w:t>
      </w:r>
      <w:r w:rsidRPr="002E3648">
        <w:rPr>
          <w:rFonts w:asciiTheme="majorHAnsi" w:hAnsiTheme="majorHAnsi"/>
          <w:b/>
        </w:rPr>
        <w:t xml:space="preserve"> Concepts and Proposals</w:t>
      </w:r>
    </w:p>
    <w:p w:rsidR="00EE7627" w:rsidRPr="002E3648" w:rsidRDefault="00EE7627" w:rsidP="00EE7627">
      <w:pPr>
        <w:pStyle w:val="NoSpacing"/>
        <w:rPr>
          <w:rFonts w:asciiTheme="majorHAnsi" w:hAnsiTheme="majorHAnsi"/>
          <w:b/>
        </w:rPr>
      </w:pPr>
    </w:p>
    <w:p w:rsidR="00F0005E" w:rsidRPr="002E3648" w:rsidRDefault="009A2D9E" w:rsidP="009A2D9E">
      <w:pPr>
        <w:widowControl w:val="0"/>
        <w:autoSpaceDE w:val="0"/>
        <w:autoSpaceDN w:val="0"/>
        <w:adjustRightInd w:val="0"/>
        <w:spacing w:after="214"/>
        <w:rPr>
          <w:rFonts w:asciiTheme="majorHAnsi" w:hAnsiTheme="majorHAnsi" w:cs="Arial"/>
          <w:b/>
          <w:bCs/>
          <w:color w:val="262626"/>
        </w:rPr>
      </w:pPr>
      <w:r w:rsidRPr="002E3648">
        <w:rPr>
          <w:rFonts w:asciiTheme="majorHAnsi" w:hAnsiTheme="majorHAnsi"/>
        </w:rPr>
        <w:t>Dear Chairman Alexander:</w:t>
      </w:r>
    </w:p>
    <w:p w:rsidR="0076187E" w:rsidRPr="002E3648" w:rsidRDefault="000D4793" w:rsidP="00567694">
      <w:pPr>
        <w:widowControl w:val="0"/>
        <w:autoSpaceDE w:val="0"/>
        <w:autoSpaceDN w:val="0"/>
        <w:adjustRightInd w:val="0"/>
        <w:spacing w:after="240"/>
        <w:rPr>
          <w:rFonts w:asciiTheme="majorHAnsi" w:hAnsiTheme="majorHAnsi" w:cs="Arial"/>
        </w:rPr>
      </w:pPr>
      <w:r w:rsidRPr="002E3648">
        <w:rPr>
          <w:rFonts w:asciiTheme="majorHAnsi" w:hAnsiTheme="majorHAnsi" w:cs="Arial"/>
        </w:rPr>
        <w:t>On behalf of t</w:t>
      </w:r>
      <w:r w:rsidR="00F0005E" w:rsidRPr="002E3648">
        <w:rPr>
          <w:rFonts w:asciiTheme="majorHAnsi" w:hAnsiTheme="majorHAnsi" w:cs="Arial"/>
        </w:rPr>
        <w:t>he Council of Regional Accrediting Commissions (C-RAC)</w:t>
      </w:r>
      <w:r w:rsidRPr="002E3648">
        <w:rPr>
          <w:rFonts w:asciiTheme="majorHAnsi" w:hAnsiTheme="majorHAnsi" w:cs="Arial"/>
        </w:rPr>
        <w:t xml:space="preserve">, I am pleased to have </w:t>
      </w:r>
      <w:r w:rsidR="00165881" w:rsidRPr="002E3648">
        <w:rPr>
          <w:rFonts w:asciiTheme="majorHAnsi" w:hAnsiTheme="majorHAnsi" w:cs="Arial"/>
        </w:rPr>
        <w:t>this opportunity to comment on your</w:t>
      </w:r>
      <w:r w:rsidRPr="002E3648">
        <w:rPr>
          <w:rFonts w:asciiTheme="majorHAnsi" w:hAnsiTheme="majorHAnsi" w:cs="Arial"/>
        </w:rPr>
        <w:t xml:space="preserve"> recently released Higher Education Accreditation: Concept and Proposals white paper ahead of </w:t>
      </w:r>
      <w:r w:rsidR="00D81443" w:rsidRPr="002E3648">
        <w:rPr>
          <w:rFonts w:asciiTheme="majorHAnsi" w:hAnsiTheme="majorHAnsi" w:cs="Arial"/>
        </w:rPr>
        <w:t xml:space="preserve">Congressional action for reauthorization of </w:t>
      </w:r>
      <w:r w:rsidR="00943473" w:rsidRPr="002E3648">
        <w:rPr>
          <w:rFonts w:asciiTheme="majorHAnsi" w:hAnsiTheme="majorHAnsi" w:cs="Arial"/>
        </w:rPr>
        <w:t>the Higher Education Act (HEA).</w:t>
      </w:r>
    </w:p>
    <w:p w:rsidR="001B2956" w:rsidRPr="002E3648" w:rsidRDefault="006D2210" w:rsidP="00567694">
      <w:pPr>
        <w:rPr>
          <w:rFonts w:asciiTheme="majorHAnsi" w:hAnsiTheme="majorHAnsi" w:cs="Arial"/>
        </w:rPr>
      </w:pPr>
      <w:r w:rsidRPr="002E3648">
        <w:rPr>
          <w:rFonts w:asciiTheme="majorHAnsi" w:hAnsiTheme="majorHAnsi" w:cs="Arial"/>
        </w:rPr>
        <w:t xml:space="preserve">The introduction of the white paper begins with </w:t>
      </w:r>
      <w:r w:rsidR="00111B55" w:rsidRPr="002E3648">
        <w:rPr>
          <w:rFonts w:asciiTheme="majorHAnsi" w:hAnsiTheme="majorHAnsi" w:cs="Arial"/>
        </w:rPr>
        <w:t xml:space="preserve">an articulation of your overall goal, to “improve and enhance academic quality and student success at colleges and universities.”  C-RAC unequivocally shares in this goal and believes </w:t>
      </w:r>
      <w:r w:rsidR="001B2956" w:rsidRPr="002E3648">
        <w:rPr>
          <w:rFonts w:asciiTheme="majorHAnsi" w:hAnsiTheme="majorHAnsi" w:cs="Arial"/>
        </w:rPr>
        <w:t>t</w:t>
      </w:r>
      <w:r w:rsidR="00567694" w:rsidRPr="002E3648">
        <w:rPr>
          <w:rFonts w:asciiTheme="majorHAnsi" w:hAnsiTheme="majorHAnsi" w:cs="Arial"/>
        </w:rPr>
        <w:t xml:space="preserve">he white paper accurately reflects many of the </w:t>
      </w:r>
      <w:r w:rsidR="00592AD7" w:rsidRPr="002E3648">
        <w:rPr>
          <w:rFonts w:asciiTheme="majorHAnsi" w:hAnsiTheme="majorHAnsi" w:cs="Arial"/>
        </w:rPr>
        <w:t xml:space="preserve">issues and </w:t>
      </w:r>
      <w:r w:rsidR="00567694" w:rsidRPr="002E3648">
        <w:rPr>
          <w:rFonts w:asciiTheme="majorHAnsi" w:hAnsiTheme="majorHAnsi" w:cs="Arial"/>
        </w:rPr>
        <w:t>challenges facing accreditors</w:t>
      </w:r>
      <w:r w:rsidR="001B2956" w:rsidRPr="002E3648">
        <w:rPr>
          <w:rFonts w:asciiTheme="majorHAnsi" w:hAnsiTheme="majorHAnsi" w:cs="Arial"/>
        </w:rPr>
        <w:t xml:space="preserve"> </w:t>
      </w:r>
      <w:r w:rsidR="007246D6" w:rsidRPr="002E3648">
        <w:rPr>
          <w:rFonts w:asciiTheme="majorHAnsi" w:hAnsiTheme="majorHAnsi" w:cs="Arial"/>
        </w:rPr>
        <w:t xml:space="preserve">and </w:t>
      </w:r>
      <w:r w:rsidR="001B2956" w:rsidRPr="002E3648">
        <w:rPr>
          <w:rFonts w:asciiTheme="majorHAnsi" w:hAnsiTheme="majorHAnsi" w:cs="Arial"/>
        </w:rPr>
        <w:t xml:space="preserve">institutions </w:t>
      </w:r>
      <w:r w:rsidR="007246D6" w:rsidRPr="002E3648">
        <w:rPr>
          <w:rFonts w:asciiTheme="majorHAnsi" w:hAnsiTheme="majorHAnsi" w:cs="Arial"/>
        </w:rPr>
        <w:t>as we strive toward meeting this goal</w:t>
      </w:r>
      <w:r w:rsidR="00567694" w:rsidRPr="002E3648">
        <w:rPr>
          <w:rFonts w:asciiTheme="majorHAnsi" w:hAnsiTheme="majorHAnsi" w:cs="Arial"/>
        </w:rPr>
        <w:t xml:space="preserve">.  </w:t>
      </w:r>
    </w:p>
    <w:p w:rsidR="001B2956" w:rsidRPr="002E3648" w:rsidRDefault="001B2956" w:rsidP="00567694">
      <w:pPr>
        <w:rPr>
          <w:rFonts w:asciiTheme="majorHAnsi" w:hAnsiTheme="majorHAnsi" w:cs="Arial"/>
        </w:rPr>
      </w:pPr>
    </w:p>
    <w:p w:rsidR="00567694" w:rsidRPr="002E3648" w:rsidRDefault="008910E3" w:rsidP="00567694">
      <w:pPr>
        <w:rPr>
          <w:rFonts w:asciiTheme="majorHAnsi" w:hAnsiTheme="majorHAnsi" w:cs="Arial"/>
        </w:rPr>
      </w:pPr>
      <w:r w:rsidRPr="002E3648">
        <w:rPr>
          <w:rFonts w:asciiTheme="majorHAnsi" w:hAnsiTheme="majorHAnsi" w:cs="Arial"/>
        </w:rPr>
        <w:t xml:space="preserve">Student success is one area of particular focus throughout the white paper and we want to assure you of our commitment to the role of accreditation in assuring institutional quality and promoting institutional improvement, particularly with respect to issues of student success.”  </w:t>
      </w:r>
      <w:r w:rsidR="00567694" w:rsidRPr="002E3648">
        <w:rPr>
          <w:rFonts w:asciiTheme="majorHAnsi" w:hAnsiTheme="majorHAnsi" w:cs="Arial"/>
        </w:rPr>
        <w:t>As required under the Higher Education Act, accreditors assess each institution we accredit based upon their demonstrated success with respect to student achievement.  This is done in relation to each institution’s mission, reflecting the fact that no two institutions are the same. As</w:t>
      </w:r>
      <w:r w:rsidR="00EE7627" w:rsidRPr="002E3648">
        <w:rPr>
          <w:rFonts w:asciiTheme="majorHAnsi" w:hAnsiTheme="majorHAnsi" w:cs="Arial"/>
        </w:rPr>
        <w:t xml:space="preserve"> such, accreditors do not use </w:t>
      </w:r>
      <w:r w:rsidR="00567694" w:rsidRPr="002E3648">
        <w:rPr>
          <w:rFonts w:asciiTheme="majorHAnsi" w:hAnsiTheme="majorHAnsi" w:cs="Arial"/>
        </w:rPr>
        <w:t xml:space="preserve">blunt </w:t>
      </w:r>
      <w:r w:rsidR="00AF22EA" w:rsidRPr="002E3648">
        <w:rPr>
          <w:rFonts w:asciiTheme="majorHAnsi" w:hAnsiTheme="majorHAnsi" w:cs="Arial"/>
        </w:rPr>
        <w:t>instrument</w:t>
      </w:r>
      <w:r w:rsidR="00775B05" w:rsidRPr="002E3648">
        <w:rPr>
          <w:rFonts w:asciiTheme="majorHAnsi" w:hAnsiTheme="majorHAnsi" w:cs="Arial"/>
        </w:rPr>
        <w:t>s</w:t>
      </w:r>
      <w:r w:rsidR="00AF22EA" w:rsidRPr="002E3648">
        <w:rPr>
          <w:rFonts w:asciiTheme="majorHAnsi" w:hAnsiTheme="majorHAnsi" w:cs="Arial"/>
        </w:rPr>
        <w:t xml:space="preserve">, </w:t>
      </w:r>
      <w:r w:rsidR="00EE7627" w:rsidRPr="002E3648">
        <w:rPr>
          <w:rFonts w:asciiTheme="majorHAnsi" w:hAnsiTheme="majorHAnsi" w:cs="Arial"/>
        </w:rPr>
        <w:t>such as</w:t>
      </w:r>
      <w:r w:rsidR="00E75510" w:rsidRPr="002E3648">
        <w:rPr>
          <w:rFonts w:asciiTheme="majorHAnsi" w:hAnsiTheme="majorHAnsi" w:cs="Arial"/>
        </w:rPr>
        <w:t xml:space="preserve"> bright line indicator</w:t>
      </w:r>
      <w:r w:rsidR="00775B05" w:rsidRPr="002E3648">
        <w:rPr>
          <w:rFonts w:asciiTheme="majorHAnsi" w:hAnsiTheme="majorHAnsi" w:cs="Arial"/>
        </w:rPr>
        <w:t>s</w:t>
      </w:r>
      <w:r w:rsidR="00AF22EA" w:rsidRPr="002E3648">
        <w:rPr>
          <w:rFonts w:asciiTheme="majorHAnsi" w:hAnsiTheme="majorHAnsi" w:cs="Arial"/>
        </w:rPr>
        <w:t xml:space="preserve">, </w:t>
      </w:r>
      <w:r w:rsidR="00567694" w:rsidRPr="002E3648">
        <w:rPr>
          <w:rFonts w:asciiTheme="majorHAnsi" w:hAnsiTheme="majorHAnsi" w:cs="Arial"/>
        </w:rPr>
        <w:t xml:space="preserve">to determine if and when an institution is successful in student achievement, but instead enable institutions to document their accomplishments.  </w:t>
      </w:r>
    </w:p>
    <w:p w:rsidR="00567694" w:rsidRPr="002E3648" w:rsidRDefault="00567694" w:rsidP="00567694">
      <w:pPr>
        <w:rPr>
          <w:rFonts w:asciiTheme="majorHAnsi" w:hAnsiTheme="majorHAnsi" w:cs="Arial"/>
        </w:rPr>
      </w:pPr>
    </w:p>
    <w:p w:rsidR="00567694" w:rsidRPr="002E3648" w:rsidRDefault="00567694" w:rsidP="00567694">
      <w:pPr>
        <w:rPr>
          <w:rFonts w:asciiTheme="majorHAnsi" w:hAnsiTheme="majorHAnsi" w:cs="Arial"/>
        </w:rPr>
      </w:pPr>
      <w:r w:rsidRPr="002E3648">
        <w:rPr>
          <w:rFonts w:asciiTheme="majorHAnsi" w:hAnsiTheme="majorHAnsi" w:cs="Arial"/>
        </w:rPr>
        <w:t xml:space="preserve">Despite the increased responsibilities and burdens of federal regulations, our focus on student success over the past years has only intensified.  This trend was documented in </w:t>
      </w:r>
      <w:r w:rsidRPr="002E3648">
        <w:rPr>
          <w:rFonts w:asciiTheme="majorHAnsi" w:hAnsiTheme="majorHAnsi" w:cs="Arial"/>
        </w:rPr>
        <w:lastRenderedPageBreak/>
        <w:t>a 2013 survey</w:t>
      </w:r>
      <w:r w:rsidRPr="002E3648">
        <w:rPr>
          <w:rStyle w:val="FootnoteReference"/>
          <w:rFonts w:asciiTheme="majorHAnsi" w:hAnsiTheme="majorHAnsi" w:cs="Arial"/>
        </w:rPr>
        <w:footnoteReference w:id="1"/>
      </w:r>
      <w:r w:rsidRPr="002E3648">
        <w:rPr>
          <w:rFonts w:asciiTheme="majorHAnsi" w:hAnsiTheme="majorHAnsi" w:cs="Arial"/>
        </w:rPr>
        <w:t xml:space="preserve"> of all regionally accredited, undergraduate degree-granting institutions conducted by the National Institute for Learning Outcomes Assessment (NILOA).  The major findings showed:</w:t>
      </w:r>
    </w:p>
    <w:p w:rsidR="00567694" w:rsidRPr="002E3648" w:rsidRDefault="00567694" w:rsidP="00567694">
      <w:pPr>
        <w:rPr>
          <w:rFonts w:asciiTheme="majorHAnsi" w:hAnsiTheme="majorHAnsi" w:cs="Arial"/>
        </w:rPr>
      </w:pPr>
    </w:p>
    <w:p w:rsidR="00567694" w:rsidRPr="002E3648" w:rsidRDefault="00567694" w:rsidP="00567694">
      <w:pPr>
        <w:pStyle w:val="ListParagraph"/>
        <w:numPr>
          <w:ilvl w:val="0"/>
          <w:numId w:val="21"/>
        </w:numPr>
        <w:rPr>
          <w:rFonts w:asciiTheme="majorHAnsi" w:hAnsiTheme="majorHAnsi" w:cs="Arial"/>
        </w:rPr>
      </w:pPr>
      <w:r w:rsidRPr="002E3648">
        <w:rPr>
          <w:rFonts w:asciiTheme="majorHAnsi" w:hAnsiTheme="majorHAnsi" w:cs="Arial"/>
        </w:rPr>
        <w:t>Stated learning outcomes are now the norm;</w:t>
      </w:r>
    </w:p>
    <w:p w:rsidR="00567694" w:rsidRPr="002E3648" w:rsidRDefault="00567694" w:rsidP="00567694">
      <w:pPr>
        <w:pStyle w:val="ListParagraph"/>
        <w:numPr>
          <w:ilvl w:val="0"/>
          <w:numId w:val="21"/>
        </w:numPr>
        <w:rPr>
          <w:rFonts w:asciiTheme="majorHAnsi" w:hAnsiTheme="majorHAnsi" w:cs="Arial"/>
        </w:rPr>
      </w:pPr>
      <w:r w:rsidRPr="002E3648">
        <w:rPr>
          <w:rFonts w:asciiTheme="majorHAnsi" w:hAnsiTheme="majorHAnsi" w:cs="Arial"/>
        </w:rPr>
        <w:t xml:space="preserve">The prime driver of assessments </w:t>
      </w:r>
      <w:r w:rsidR="009E77CF" w:rsidRPr="002E3648">
        <w:rPr>
          <w:rFonts w:asciiTheme="majorHAnsi" w:hAnsiTheme="majorHAnsi" w:cs="Arial"/>
        </w:rPr>
        <w:t xml:space="preserve">is </w:t>
      </w:r>
      <w:r w:rsidRPr="002E3648">
        <w:rPr>
          <w:rFonts w:asciiTheme="majorHAnsi" w:hAnsiTheme="majorHAnsi" w:cs="Arial"/>
        </w:rPr>
        <w:t>due to the expectations of accreditors; and</w:t>
      </w:r>
    </w:p>
    <w:p w:rsidR="00567694" w:rsidRPr="002E3648" w:rsidRDefault="00567694" w:rsidP="00567694">
      <w:pPr>
        <w:pStyle w:val="ListParagraph"/>
        <w:numPr>
          <w:ilvl w:val="0"/>
          <w:numId w:val="21"/>
        </w:numPr>
        <w:rPr>
          <w:rFonts w:asciiTheme="majorHAnsi" w:hAnsiTheme="majorHAnsi" w:cs="Arial"/>
        </w:rPr>
      </w:pPr>
      <w:r w:rsidRPr="002E3648">
        <w:rPr>
          <w:rFonts w:asciiTheme="majorHAnsi" w:hAnsiTheme="majorHAnsi" w:cs="Arial"/>
        </w:rPr>
        <w:t>Substantially more student learning outcomes assessments are underway now than a few years ago, and the range of tools and measures to assess student learning has expanded.</w:t>
      </w:r>
    </w:p>
    <w:p w:rsidR="00567694" w:rsidRPr="002E3648" w:rsidRDefault="00567694" w:rsidP="00567694">
      <w:pPr>
        <w:rPr>
          <w:rFonts w:asciiTheme="majorHAnsi" w:hAnsiTheme="majorHAnsi" w:cs="Arial"/>
        </w:rPr>
      </w:pPr>
    </w:p>
    <w:p w:rsidR="00567694" w:rsidRPr="002E3648" w:rsidRDefault="00A64424" w:rsidP="00567694">
      <w:pPr>
        <w:rPr>
          <w:rFonts w:asciiTheme="majorHAnsi" w:hAnsiTheme="majorHAnsi" w:cs="Arial"/>
        </w:rPr>
      </w:pPr>
      <w:r w:rsidRPr="002E3648">
        <w:rPr>
          <w:rFonts w:asciiTheme="majorHAnsi" w:hAnsiTheme="majorHAnsi" w:cs="Arial"/>
        </w:rPr>
        <w:t>At the same time</w:t>
      </w:r>
      <w:r w:rsidR="00567694" w:rsidRPr="002E3648">
        <w:rPr>
          <w:rFonts w:asciiTheme="majorHAnsi" w:hAnsiTheme="majorHAnsi" w:cs="Arial"/>
        </w:rPr>
        <w:t>, we acknowledge the concern and frustration expressed by students, parents and policymakers who believe accreditors could be doing more in this important area</w:t>
      </w:r>
      <w:r w:rsidRPr="002E3648">
        <w:rPr>
          <w:rFonts w:asciiTheme="majorHAnsi" w:hAnsiTheme="majorHAnsi" w:cs="Arial"/>
        </w:rPr>
        <w:t>, and</w:t>
      </w:r>
      <w:r w:rsidR="00567694" w:rsidRPr="002E3648">
        <w:rPr>
          <w:rFonts w:asciiTheme="majorHAnsi" w:hAnsiTheme="majorHAnsi" w:cs="Arial"/>
        </w:rPr>
        <w:t xml:space="preserve"> we are committed to continuing to expand our focus in working with institutions to help better measure and document their success in student achievement and hold institutions accountable for these outcomes.   </w:t>
      </w:r>
    </w:p>
    <w:p w:rsidR="00567694" w:rsidRPr="002E3648" w:rsidRDefault="00567694">
      <w:pPr>
        <w:rPr>
          <w:rFonts w:asciiTheme="majorHAnsi" w:hAnsiTheme="majorHAnsi" w:cs="Arial"/>
        </w:rPr>
      </w:pPr>
    </w:p>
    <w:p w:rsidR="00FA0C5F" w:rsidRPr="002E3648" w:rsidRDefault="004A3379">
      <w:pPr>
        <w:rPr>
          <w:rFonts w:asciiTheme="majorHAnsi" w:hAnsiTheme="majorHAnsi" w:cs="Arial"/>
        </w:rPr>
      </w:pPr>
      <w:r w:rsidRPr="002E3648">
        <w:rPr>
          <w:rFonts w:asciiTheme="majorHAnsi" w:hAnsiTheme="majorHAnsi" w:cs="Arial"/>
        </w:rPr>
        <w:t>Again, we are pleased to have this opportunity to offer our</w:t>
      </w:r>
      <w:r w:rsidR="007A041E" w:rsidRPr="002E3648">
        <w:rPr>
          <w:rFonts w:asciiTheme="majorHAnsi" w:hAnsiTheme="majorHAnsi" w:cs="Arial"/>
        </w:rPr>
        <w:t xml:space="preserve"> views on </w:t>
      </w:r>
      <w:r w:rsidR="006A435F" w:rsidRPr="002E3648">
        <w:rPr>
          <w:rFonts w:asciiTheme="majorHAnsi" w:hAnsiTheme="majorHAnsi" w:cs="Arial"/>
        </w:rPr>
        <w:t>institutional quality as well as other issues reflected in e</w:t>
      </w:r>
      <w:r w:rsidR="000D4793" w:rsidRPr="002E3648">
        <w:rPr>
          <w:rFonts w:asciiTheme="majorHAnsi" w:hAnsiTheme="majorHAnsi" w:cs="Arial"/>
        </w:rPr>
        <w:t xml:space="preserve">ach of the </w:t>
      </w:r>
      <w:r w:rsidR="00D81443" w:rsidRPr="002E3648">
        <w:rPr>
          <w:rFonts w:asciiTheme="majorHAnsi" w:hAnsiTheme="majorHAnsi" w:cs="Arial"/>
        </w:rPr>
        <w:t xml:space="preserve">seven proposals </w:t>
      </w:r>
      <w:r w:rsidR="00493188" w:rsidRPr="002E3648">
        <w:rPr>
          <w:rFonts w:asciiTheme="majorHAnsi" w:hAnsiTheme="majorHAnsi" w:cs="Arial"/>
        </w:rPr>
        <w:t>included under</w:t>
      </w:r>
      <w:r w:rsidR="00D81443" w:rsidRPr="002E3648">
        <w:rPr>
          <w:rFonts w:asciiTheme="majorHAnsi" w:hAnsiTheme="majorHAnsi" w:cs="Arial"/>
        </w:rPr>
        <w:t xml:space="preserve"> “Optio</w:t>
      </w:r>
      <w:r w:rsidR="007A041E" w:rsidRPr="002E3648">
        <w:rPr>
          <w:rFonts w:asciiTheme="majorHAnsi" w:hAnsiTheme="majorHAnsi" w:cs="Arial"/>
        </w:rPr>
        <w:t>ns for Reforming Accreditation</w:t>
      </w:r>
      <w:r w:rsidR="006A435F" w:rsidRPr="002E3648">
        <w:rPr>
          <w:rFonts w:asciiTheme="majorHAnsi" w:hAnsiTheme="majorHAnsi" w:cs="Arial"/>
        </w:rPr>
        <w:t>.”  W</w:t>
      </w:r>
      <w:r w:rsidR="007A041E" w:rsidRPr="002E3648">
        <w:rPr>
          <w:rFonts w:asciiTheme="majorHAnsi" w:hAnsiTheme="majorHAnsi" w:cs="Arial"/>
        </w:rPr>
        <w:t xml:space="preserve">e look forward to </w:t>
      </w:r>
      <w:r w:rsidR="006A435F" w:rsidRPr="002E3648">
        <w:rPr>
          <w:rFonts w:asciiTheme="majorHAnsi" w:hAnsiTheme="majorHAnsi" w:cs="Arial"/>
        </w:rPr>
        <w:t>a continued discuss</w:t>
      </w:r>
      <w:r w:rsidR="001E3C2B" w:rsidRPr="002E3648">
        <w:rPr>
          <w:rFonts w:asciiTheme="majorHAnsi" w:hAnsiTheme="majorHAnsi" w:cs="Arial"/>
        </w:rPr>
        <w:t>ion</w:t>
      </w:r>
      <w:r w:rsidR="006A435F" w:rsidRPr="002E3648">
        <w:rPr>
          <w:rFonts w:asciiTheme="majorHAnsi" w:hAnsiTheme="majorHAnsi" w:cs="Arial"/>
        </w:rPr>
        <w:t xml:space="preserve"> of these issues </w:t>
      </w:r>
      <w:r w:rsidR="007A041E" w:rsidRPr="002E3648">
        <w:rPr>
          <w:rFonts w:asciiTheme="majorHAnsi" w:hAnsiTheme="majorHAnsi" w:cs="Arial"/>
        </w:rPr>
        <w:t xml:space="preserve">with you and the other Members of the HELP Committee as you move forward </w:t>
      </w:r>
      <w:r w:rsidR="008762A7" w:rsidRPr="002E3648">
        <w:rPr>
          <w:rFonts w:asciiTheme="majorHAnsi" w:hAnsiTheme="majorHAnsi" w:cs="Arial"/>
        </w:rPr>
        <w:t>on efforts to reauthorize the Higher Education Act.</w:t>
      </w:r>
    </w:p>
    <w:p w:rsidR="004F7F7E" w:rsidRPr="002E3648" w:rsidRDefault="004F7F7E" w:rsidP="00D81443">
      <w:pPr>
        <w:rPr>
          <w:rFonts w:asciiTheme="majorHAnsi" w:hAnsiTheme="majorHAnsi" w:cs="Arial"/>
        </w:rPr>
      </w:pPr>
    </w:p>
    <w:p w:rsidR="00D81443" w:rsidRPr="002E3648" w:rsidRDefault="00D81443" w:rsidP="00D81443">
      <w:pPr>
        <w:rPr>
          <w:rFonts w:asciiTheme="majorHAnsi" w:hAnsiTheme="majorHAnsi"/>
          <w:b/>
        </w:rPr>
      </w:pPr>
      <w:r w:rsidRPr="002E3648">
        <w:rPr>
          <w:rFonts w:asciiTheme="majorHAnsi" w:hAnsiTheme="majorHAnsi"/>
          <w:b/>
        </w:rPr>
        <w:t>Refocus Accreditation on Quality</w:t>
      </w:r>
    </w:p>
    <w:p w:rsidR="00D81443" w:rsidRPr="002E3648" w:rsidRDefault="00D81443" w:rsidP="00D81443">
      <w:pPr>
        <w:rPr>
          <w:rFonts w:asciiTheme="majorHAnsi" w:hAnsiTheme="majorHAnsi"/>
          <w:b/>
        </w:rPr>
      </w:pPr>
    </w:p>
    <w:p w:rsidR="00D81443" w:rsidRPr="002E3648" w:rsidRDefault="00D81443" w:rsidP="00D81443">
      <w:pPr>
        <w:rPr>
          <w:rFonts w:asciiTheme="majorHAnsi" w:hAnsiTheme="majorHAnsi"/>
          <w:i/>
        </w:rPr>
      </w:pPr>
      <w:r w:rsidRPr="002E3648">
        <w:rPr>
          <w:rFonts w:asciiTheme="majorHAnsi" w:hAnsiTheme="majorHAnsi"/>
          <w:i/>
        </w:rPr>
        <w:t xml:space="preserve">Proposal #1: Repeal Accreditation-Related Regulations and Statute that are </w:t>
      </w:r>
      <w:r w:rsidR="009A6687" w:rsidRPr="002E3648">
        <w:rPr>
          <w:rFonts w:asciiTheme="majorHAnsi" w:hAnsiTheme="majorHAnsi"/>
          <w:i/>
        </w:rPr>
        <w:t>u</w:t>
      </w:r>
      <w:r w:rsidRPr="002E3648">
        <w:rPr>
          <w:rFonts w:asciiTheme="majorHAnsi" w:hAnsiTheme="majorHAnsi"/>
          <w:i/>
        </w:rPr>
        <w:t>nrelated to Direct Institutional Quality and Improvement</w:t>
      </w:r>
    </w:p>
    <w:p w:rsidR="00567694" w:rsidRPr="002E3648" w:rsidRDefault="00567694" w:rsidP="00E53D72">
      <w:pPr>
        <w:rPr>
          <w:rFonts w:asciiTheme="majorHAnsi" w:hAnsiTheme="majorHAnsi" w:cs="Arial"/>
        </w:rPr>
      </w:pPr>
    </w:p>
    <w:p w:rsidR="00E53D72" w:rsidRPr="002E3648" w:rsidRDefault="00536930" w:rsidP="00E53D72">
      <w:pPr>
        <w:rPr>
          <w:rFonts w:asciiTheme="majorHAnsi" w:hAnsiTheme="majorHAnsi" w:cs="Arial"/>
        </w:rPr>
      </w:pPr>
      <w:r w:rsidRPr="002E3648">
        <w:rPr>
          <w:rFonts w:asciiTheme="majorHAnsi" w:hAnsiTheme="majorHAnsi" w:cs="Arial"/>
        </w:rPr>
        <w:t>We</w:t>
      </w:r>
      <w:r w:rsidR="004A4802" w:rsidRPr="002E3648">
        <w:rPr>
          <w:rFonts w:asciiTheme="majorHAnsi" w:hAnsiTheme="majorHAnsi" w:cs="Arial"/>
        </w:rPr>
        <w:t xml:space="preserve"> agree with the argument laid ou</w:t>
      </w:r>
      <w:r w:rsidR="00F30E8F" w:rsidRPr="002E3648">
        <w:rPr>
          <w:rFonts w:asciiTheme="majorHAnsi" w:hAnsiTheme="majorHAnsi" w:cs="Arial"/>
        </w:rPr>
        <w:t>t in the white paper that our a</w:t>
      </w:r>
      <w:r w:rsidR="004A4802" w:rsidRPr="002E3648">
        <w:rPr>
          <w:rFonts w:asciiTheme="majorHAnsi" w:hAnsiTheme="majorHAnsi" w:cs="Arial"/>
        </w:rPr>
        <w:t>bi</w:t>
      </w:r>
      <w:r w:rsidR="00F30E8F" w:rsidRPr="002E3648">
        <w:rPr>
          <w:rFonts w:asciiTheme="majorHAnsi" w:hAnsiTheme="majorHAnsi" w:cs="Arial"/>
        </w:rPr>
        <w:t>lity</w:t>
      </w:r>
      <w:r w:rsidR="004A4802" w:rsidRPr="002E3648">
        <w:rPr>
          <w:rFonts w:asciiTheme="majorHAnsi" w:hAnsiTheme="majorHAnsi" w:cs="Arial"/>
        </w:rPr>
        <w:t xml:space="preserve"> to </w:t>
      </w:r>
      <w:r w:rsidR="00910C07" w:rsidRPr="002E3648">
        <w:rPr>
          <w:rFonts w:asciiTheme="majorHAnsi" w:hAnsiTheme="majorHAnsi" w:cs="Arial"/>
        </w:rPr>
        <w:t xml:space="preserve">focus more on </w:t>
      </w:r>
      <w:r w:rsidR="00F30E8F" w:rsidRPr="002E3648">
        <w:rPr>
          <w:rFonts w:asciiTheme="majorHAnsi" w:hAnsiTheme="majorHAnsi" w:cs="Arial"/>
        </w:rPr>
        <w:t xml:space="preserve">quality and quality improvement would </w:t>
      </w:r>
      <w:r w:rsidR="00910C07" w:rsidRPr="002E3648">
        <w:rPr>
          <w:rFonts w:asciiTheme="majorHAnsi" w:hAnsiTheme="majorHAnsi" w:cs="Arial"/>
        </w:rPr>
        <w:t>greatly benefit accre</w:t>
      </w:r>
      <w:r w:rsidR="00F30E8F" w:rsidRPr="002E3648">
        <w:rPr>
          <w:rFonts w:asciiTheme="majorHAnsi" w:hAnsiTheme="majorHAnsi" w:cs="Arial"/>
        </w:rPr>
        <w:t xml:space="preserve">ditors </w:t>
      </w:r>
      <w:r w:rsidR="00C82C3F" w:rsidRPr="002E3648">
        <w:rPr>
          <w:rFonts w:asciiTheme="majorHAnsi" w:hAnsiTheme="majorHAnsi" w:cs="Arial"/>
        </w:rPr>
        <w:t xml:space="preserve">in freeing us </w:t>
      </w:r>
      <w:r w:rsidR="00F30E8F" w:rsidRPr="002E3648">
        <w:rPr>
          <w:rFonts w:asciiTheme="majorHAnsi" w:hAnsiTheme="majorHAnsi" w:cs="Arial"/>
        </w:rPr>
        <w:t>from “burdensome, misguided, and</w:t>
      </w:r>
      <w:r w:rsidR="00910C07" w:rsidRPr="002E3648">
        <w:rPr>
          <w:rFonts w:asciiTheme="majorHAnsi" w:hAnsiTheme="majorHAnsi" w:cs="Arial"/>
        </w:rPr>
        <w:t xml:space="preserve"> duplicative regulations</w:t>
      </w:r>
      <w:r w:rsidR="00F30E8F" w:rsidRPr="002E3648">
        <w:rPr>
          <w:rFonts w:asciiTheme="majorHAnsi" w:hAnsiTheme="majorHAnsi" w:cs="Arial"/>
        </w:rPr>
        <w:t>.</w:t>
      </w:r>
      <w:r w:rsidR="00910C07" w:rsidRPr="002E3648">
        <w:rPr>
          <w:rFonts w:asciiTheme="majorHAnsi" w:hAnsiTheme="majorHAnsi" w:cs="Arial"/>
        </w:rPr>
        <w:t>”</w:t>
      </w:r>
      <w:r w:rsidR="00F30E8F" w:rsidRPr="002E3648">
        <w:rPr>
          <w:rFonts w:asciiTheme="majorHAnsi" w:hAnsiTheme="majorHAnsi" w:cs="Arial"/>
        </w:rPr>
        <w:t xml:space="preserve">  </w:t>
      </w:r>
      <w:r w:rsidR="009E77CF" w:rsidRPr="002E3648">
        <w:rPr>
          <w:rFonts w:asciiTheme="majorHAnsi" w:hAnsiTheme="majorHAnsi" w:cs="Arial"/>
        </w:rPr>
        <w:t xml:space="preserve">As you, </w:t>
      </w:r>
      <w:r w:rsidR="00E53D72" w:rsidRPr="002E3648">
        <w:rPr>
          <w:rFonts w:asciiTheme="majorHAnsi" w:hAnsiTheme="majorHAnsi" w:cs="Arial"/>
        </w:rPr>
        <w:t>Chairman Alexander</w:t>
      </w:r>
      <w:r w:rsidR="009E77CF" w:rsidRPr="002E3648">
        <w:rPr>
          <w:rFonts w:asciiTheme="majorHAnsi" w:hAnsiTheme="majorHAnsi" w:cs="Arial"/>
        </w:rPr>
        <w:t>,</w:t>
      </w:r>
      <w:r w:rsidR="00E53D72" w:rsidRPr="002E3648">
        <w:rPr>
          <w:rFonts w:asciiTheme="majorHAnsi" w:hAnsiTheme="majorHAnsi" w:cs="Arial"/>
        </w:rPr>
        <w:t xml:space="preserve"> often </w:t>
      </w:r>
      <w:r w:rsidR="009E77CF" w:rsidRPr="002E3648">
        <w:rPr>
          <w:rFonts w:asciiTheme="majorHAnsi" w:hAnsiTheme="majorHAnsi" w:cs="Arial"/>
        </w:rPr>
        <w:t xml:space="preserve">point out, </w:t>
      </w:r>
      <w:r w:rsidR="00E53D72" w:rsidRPr="002E3648">
        <w:rPr>
          <w:rFonts w:asciiTheme="majorHAnsi" w:hAnsiTheme="majorHAnsi" w:cs="Arial"/>
        </w:rPr>
        <w:t xml:space="preserve">efforts to improve the Higher Education Act </w:t>
      </w:r>
      <w:r w:rsidR="00DA3FB5" w:rsidRPr="002E3648">
        <w:rPr>
          <w:rFonts w:asciiTheme="majorHAnsi" w:hAnsiTheme="majorHAnsi" w:cs="Arial"/>
        </w:rPr>
        <w:t>ha</w:t>
      </w:r>
      <w:r w:rsidR="00C82C3F" w:rsidRPr="002E3648">
        <w:rPr>
          <w:rFonts w:asciiTheme="majorHAnsi" w:hAnsiTheme="majorHAnsi" w:cs="Arial"/>
        </w:rPr>
        <w:t>ve</w:t>
      </w:r>
      <w:r w:rsidR="00DA3FB5" w:rsidRPr="002E3648">
        <w:rPr>
          <w:rFonts w:asciiTheme="majorHAnsi" w:hAnsiTheme="majorHAnsi" w:cs="Arial"/>
        </w:rPr>
        <w:t xml:space="preserve"> </w:t>
      </w:r>
      <w:r w:rsidR="00E53D72" w:rsidRPr="002E3648">
        <w:rPr>
          <w:rFonts w:asciiTheme="majorHAnsi" w:hAnsiTheme="majorHAnsi" w:cs="Arial"/>
        </w:rPr>
        <w:t>typically result</w:t>
      </w:r>
      <w:r w:rsidR="00DA3FB5" w:rsidRPr="002E3648">
        <w:rPr>
          <w:rFonts w:asciiTheme="majorHAnsi" w:hAnsiTheme="majorHAnsi" w:cs="Arial"/>
        </w:rPr>
        <w:t>ed</w:t>
      </w:r>
      <w:r w:rsidR="00E53D72" w:rsidRPr="002E3648">
        <w:rPr>
          <w:rFonts w:asciiTheme="majorHAnsi" w:hAnsiTheme="majorHAnsi" w:cs="Arial"/>
        </w:rPr>
        <w:t xml:space="preserve"> in addin</w:t>
      </w:r>
      <w:r w:rsidR="00DA3FB5" w:rsidRPr="002E3648">
        <w:rPr>
          <w:rFonts w:asciiTheme="majorHAnsi" w:hAnsiTheme="majorHAnsi" w:cs="Arial"/>
        </w:rPr>
        <w:t>g new requirements</w:t>
      </w:r>
      <w:r w:rsidR="00C82C3F" w:rsidRPr="002E3648">
        <w:rPr>
          <w:rFonts w:asciiTheme="majorHAnsi" w:hAnsiTheme="majorHAnsi" w:cs="Arial"/>
        </w:rPr>
        <w:t>,</w:t>
      </w:r>
      <w:r w:rsidR="00DA3FB5" w:rsidRPr="002E3648">
        <w:rPr>
          <w:rFonts w:asciiTheme="majorHAnsi" w:hAnsiTheme="majorHAnsi" w:cs="Arial"/>
        </w:rPr>
        <w:t xml:space="preserve"> without </w:t>
      </w:r>
      <w:r w:rsidR="00E53D72" w:rsidRPr="002E3648">
        <w:rPr>
          <w:rFonts w:asciiTheme="majorHAnsi" w:hAnsiTheme="majorHAnsi" w:cs="Arial"/>
        </w:rPr>
        <w:t xml:space="preserve">going back to see what prior requirements no longer make sense.  We agree with this sentiment and the need to “weed the garden” as it is truly applicable to provisions related to accreditation.  For this reason C-RAC has been a strong advocate for scaling back </w:t>
      </w:r>
      <w:r w:rsidR="005F0310">
        <w:rPr>
          <w:rFonts w:asciiTheme="majorHAnsi" w:hAnsiTheme="majorHAnsi" w:cs="Arial"/>
        </w:rPr>
        <w:t xml:space="preserve">on </w:t>
      </w:r>
      <w:r w:rsidR="00E53D72" w:rsidRPr="002E3648">
        <w:rPr>
          <w:rFonts w:asciiTheme="majorHAnsi" w:hAnsiTheme="majorHAnsi" w:cs="Arial"/>
        </w:rPr>
        <w:t>certain cumbersome federal regulations</w:t>
      </w:r>
      <w:r w:rsidR="001E3C2B" w:rsidRPr="002E3648">
        <w:rPr>
          <w:rFonts w:asciiTheme="majorHAnsi" w:hAnsiTheme="majorHAnsi" w:cs="Arial"/>
        </w:rPr>
        <w:t>.</w:t>
      </w:r>
      <w:r w:rsidR="00E53D72" w:rsidRPr="002E3648">
        <w:rPr>
          <w:rFonts w:asciiTheme="majorHAnsi" w:hAnsiTheme="majorHAnsi" w:cs="Arial"/>
        </w:rPr>
        <w:t xml:space="preserve">  </w:t>
      </w:r>
    </w:p>
    <w:p w:rsidR="00E53D72" w:rsidRPr="002E3648" w:rsidRDefault="00E53D72">
      <w:pPr>
        <w:rPr>
          <w:rFonts w:asciiTheme="majorHAnsi" w:hAnsiTheme="majorHAnsi" w:cs="Arial"/>
        </w:rPr>
      </w:pPr>
    </w:p>
    <w:p w:rsidR="00201F82" w:rsidRPr="002E3648" w:rsidRDefault="0045059A">
      <w:pPr>
        <w:rPr>
          <w:rFonts w:asciiTheme="majorHAnsi" w:hAnsiTheme="majorHAnsi" w:cs="Arial"/>
        </w:rPr>
      </w:pPr>
      <w:r w:rsidRPr="002E3648">
        <w:rPr>
          <w:rFonts w:asciiTheme="majorHAnsi" w:hAnsiTheme="majorHAnsi" w:cs="Arial"/>
        </w:rPr>
        <w:t xml:space="preserve">As accreditors, we see </w:t>
      </w:r>
      <w:r w:rsidR="008334B8" w:rsidRPr="002E3648">
        <w:rPr>
          <w:rFonts w:asciiTheme="majorHAnsi" w:hAnsiTheme="majorHAnsi" w:cs="Arial"/>
        </w:rPr>
        <w:t>first-hand</w:t>
      </w:r>
      <w:r w:rsidRPr="002E3648">
        <w:rPr>
          <w:rFonts w:asciiTheme="majorHAnsi" w:hAnsiTheme="majorHAnsi" w:cs="Arial"/>
        </w:rPr>
        <w:t xml:space="preserve"> the</w:t>
      </w:r>
      <w:r w:rsidR="00673C21" w:rsidRPr="002E3648">
        <w:rPr>
          <w:rFonts w:asciiTheme="majorHAnsi" w:hAnsiTheme="majorHAnsi" w:cs="Arial"/>
        </w:rPr>
        <w:t xml:space="preserve"> impact of over-regulation</w:t>
      </w:r>
      <w:r w:rsidRPr="002E3648">
        <w:rPr>
          <w:rFonts w:asciiTheme="majorHAnsi" w:hAnsiTheme="majorHAnsi" w:cs="Arial"/>
        </w:rPr>
        <w:t xml:space="preserve"> </w:t>
      </w:r>
      <w:r w:rsidR="00673C21" w:rsidRPr="002E3648">
        <w:rPr>
          <w:rFonts w:asciiTheme="majorHAnsi" w:hAnsiTheme="majorHAnsi" w:cs="Arial"/>
        </w:rPr>
        <w:t>resulting</w:t>
      </w:r>
      <w:r w:rsidRPr="002E3648">
        <w:rPr>
          <w:rFonts w:asciiTheme="majorHAnsi" w:hAnsiTheme="majorHAnsi" w:cs="Arial"/>
        </w:rPr>
        <w:t xml:space="preserve"> in our </w:t>
      </w:r>
      <w:r w:rsidR="00C37D72" w:rsidRPr="002E3648">
        <w:rPr>
          <w:rFonts w:asciiTheme="majorHAnsi" w:hAnsiTheme="majorHAnsi" w:cs="Arial"/>
        </w:rPr>
        <w:t xml:space="preserve">having to shift limited staff and resources away </w:t>
      </w:r>
      <w:r w:rsidR="00A6257E" w:rsidRPr="002E3648">
        <w:rPr>
          <w:rFonts w:asciiTheme="majorHAnsi" w:hAnsiTheme="majorHAnsi" w:cs="Arial"/>
        </w:rPr>
        <w:t xml:space="preserve">from efforts related to institutional quality and </w:t>
      </w:r>
      <w:r w:rsidR="00FB5739" w:rsidRPr="002E3648">
        <w:rPr>
          <w:rFonts w:asciiTheme="majorHAnsi" w:hAnsiTheme="majorHAnsi" w:cs="Arial"/>
        </w:rPr>
        <w:t xml:space="preserve">improvements to instead </w:t>
      </w:r>
      <w:r w:rsidR="00A6257E" w:rsidRPr="002E3648">
        <w:rPr>
          <w:rFonts w:asciiTheme="majorHAnsi" w:hAnsiTheme="majorHAnsi" w:cs="Arial"/>
        </w:rPr>
        <w:t xml:space="preserve">respond to </w:t>
      </w:r>
      <w:r w:rsidR="00FF3D18" w:rsidRPr="002E3648">
        <w:rPr>
          <w:rFonts w:asciiTheme="majorHAnsi" w:hAnsiTheme="majorHAnsi" w:cs="Arial"/>
        </w:rPr>
        <w:t xml:space="preserve">a growing list of </w:t>
      </w:r>
      <w:r w:rsidR="00A6257E" w:rsidRPr="002E3648">
        <w:rPr>
          <w:rFonts w:asciiTheme="majorHAnsi" w:hAnsiTheme="majorHAnsi" w:cs="Arial"/>
        </w:rPr>
        <w:t xml:space="preserve">federal compliance </w:t>
      </w:r>
      <w:r w:rsidR="00D51D7B" w:rsidRPr="002E3648">
        <w:rPr>
          <w:rFonts w:asciiTheme="majorHAnsi" w:hAnsiTheme="majorHAnsi" w:cs="Arial"/>
        </w:rPr>
        <w:t>requirements</w:t>
      </w:r>
      <w:r w:rsidR="00C82C3F" w:rsidRPr="002E3648">
        <w:rPr>
          <w:rFonts w:asciiTheme="majorHAnsi" w:hAnsiTheme="majorHAnsi" w:cs="Arial"/>
        </w:rPr>
        <w:t>,</w:t>
      </w:r>
      <w:r w:rsidR="00A6257E" w:rsidRPr="002E3648">
        <w:rPr>
          <w:rFonts w:asciiTheme="majorHAnsi" w:hAnsiTheme="majorHAnsi" w:cs="Arial"/>
        </w:rPr>
        <w:t xml:space="preserve"> which we </w:t>
      </w:r>
      <w:r w:rsidR="00FF3D18" w:rsidRPr="002E3648">
        <w:rPr>
          <w:rFonts w:asciiTheme="majorHAnsi" w:hAnsiTheme="majorHAnsi" w:cs="Arial"/>
        </w:rPr>
        <w:t xml:space="preserve">often view as </w:t>
      </w:r>
      <w:r w:rsidR="00201F82" w:rsidRPr="002E3648">
        <w:rPr>
          <w:rFonts w:asciiTheme="majorHAnsi" w:hAnsiTheme="majorHAnsi" w:cs="Arial"/>
        </w:rPr>
        <w:t xml:space="preserve">unnecessary.  Recent changes to approving </w:t>
      </w:r>
      <w:r w:rsidR="00D51D7B" w:rsidRPr="002E3648">
        <w:rPr>
          <w:rFonts w:asciiTheme="majorHAnsi" w:hAnsiTheme="majorHAnsi" w:cs="Arial"/>
        </w:rPr>
        <w:t>“substantive change</w:t>
      </w:r>
      <w:r w:rsidR="00201F82" w:rsidRPr="002E3648">
        <w:rPr>
          <w:rFonts w:asciiTheme="majorHAnsi" w:hAnsiTheme="majorHAnsi" w:cs="Arial"/>
        </w:rPr>
        <w:t>s</w:t>
      </w:r>
      <w:r w:rsidR="00D51D7B" w:rsidRPr="002E3648">
        <w:rPr>
          <w:rFonts w:asciiTheme="majorHAnsi" w:hAnsiTheme="majorHAnsi" w:cs="Arial"/>
        </w:rPr>
        <w:t>” exemplify this</w:t>
      </w:r>
      <w:r w:rsidR="005F0310">
        <w:rPr>
          <w:rFonts w:asciiTheme="majorHAnsi" w:hAnsiTheme="majorHAnsi" w:cs="Arial"/>
        </w:rPr>
        <w:t xml:space="preserve"> over-regulation.</w:t>
      </w:r>
      <w:r w:rsidR="00BE62D9" w:rsidRPr="002E3648">
        <w:rPr>
          <w:rFonts w:asciiTheme="majorHAnsi" w:hAnsiTheme="majorHAnsi" w:cs="Arial"/>
        </w:rPr>
        <w:t xml:space="preserve"> </w:t>
      </w:r>
    </w:p>
    <w:p w:rsidR="00201F82" w:rsidRPr="002E3648" w:rsidRDefault="00201F82">
      <w:pPr>
        <w:rPr>
          <w:rFonts w:asciiTheme="majorHAnsi" w:hAnsiTheme="majorHAnsi" w:cs="Arial"/>
        </w:rPr>
      </w:pPr>
    </w:p>
    <w:p w:rsidR="004969CC" w:rsidRPr="002E3648" w:rsidRDefault="001F14A3">
      <w:pPr>
        <w:rPr>
          <w:rFonts w:asciiTheme="majorHAnsi" w:hAnsiTheme="majorHAnsi" w:cs="Arial"/>
        </w:rPr>
      </w:pPr>
      <w:r w:rsidRPr="002E3648">
        <w:rPr>
          <w:rFonts w:asciiTheme="majorHAnsi" w:hAnsiTheme="majorHAnsi" w:cs="Arial"/>
        </w:rPr>
        <w:t>A</w:t>
      </w:r>
      <w:r w:rsidR="009E1F77" w:rsidRPr="002E3648">
        <w:rPr>
          <w:rFonts w:asciiTheme="majorHAnsi" w:hAnsiTheme="majorHAnsi" w:cs="Arial"/>
        </w:rPr>
        <w:t>s noted in the white paper, a</w:t>
      </w:r>
      <w:r w:rsidRPr="002E3648">
        <w:rPr>
          <w:rFonts w:asciiTheme="majorHAnsi" w:hAnsiTheme="majorHAnsi" w:cs="Arial"/>
        </w:rPr>
        <w:t xml:space="preserve">ccreditors also encounter this issue in having to comply with the myriad of </w:t>
      </w:r>
      <w:r w:rsidR="0048779E" w:rsidRPr="002E3648">
        <w:rPr>
          <w:rFonts w:asciiTheme="majorHAnsi" w:hAnsiTheme="majorHAnsi" w:cs="Arial"/>
        </w:rPr>
        <w:t>sub-regulatory guidance, including “nearly 93 different criteria that accreditors must consider when determining institutional quality</w:t>
      </w:r>
      <w:r w:rsidR="004053E9" w:rsidRPr="002E3648">
        <w:rPr>
          <w:rFonts w:asciiTheme="majorHAnsi" w:hAnsiTheme="majorHAnsi" w:cs="Arial"/>
        </w:rPr>
        <w:t>.</w:t>
      </w:r>
      <w:r w:rsidR="0048779E" w:rsidRPr="002E3648">
        <w:rPr>
          <w:rFonts w:asciiTheme="majorHAnsi" w:hAnsiTheme="majorHAnsi" w:cs="Arial"/>
        </w:rPr>
        <w:t xml:space="preserve">” </w:t>
      </w:r>
      <w:r w:rsidR="004969CC" w:rsidRPr="002E3648">
        <w:rPr>
          <w:rFonts w:asciiTheme="majorHAnsi" w:hAnsiTheme="majorHAnsi" w:cs="Arial"/>
        </w:rPr>
        <w:t xml:space="preserve"> These criteria are often burdensome and at times lead</w:t>
      </w:r>
      <w:r w:rsidR="0048779E" w:rsidRPr="002E3648">
        <w:rPr>
          <w:rFonts w:asciiTheme="majorHAnsi" w:hAnsiTheme="majorHAnsi" w:cs="Arial"/>
        </w:rPr>
        <w:t xml:space="preserve"> to accredi</w:t>
      </w:r>
      <w:r w:rsidR="00FB5739" w:rsidRPr="002E3648">
        <w:rPr>
          <w:rFonts w:asciiTheme="majorHAnsi" w:hAnsiTheme="majorHAnsi" w:cs="Arial"/>
        </w:rPr>
        <w:t xml:space="preserve">tors being required to review </w:t>
      </w:r>
      <w:r w:rsidR="0048779E" w:rsidRPr="002E3648">
        <w:rPr>
          <w:rFonts w:asciiTheme="majorHAnsi" w:hAnsiTheme="majorHAnsi" w:cs="Arial"/>
        </w:rPr>
        <w:t xml:space="preserve">elements that are </w:t>
      </w:r>
      <w:r w:rsidR="00DB73FE" w:rsidRPr="002E3648">
        <w:rPr>
          <w:rFonts w:asciiTheme="majorHAnsi" w:hAnsiTheme="majorHAnsi" w:cs="Arial"/>
        </w:rPr>
        <w:t>not r</w:t>
      </w:r>
      <w:r w:rsidR="0048779E" w:rsidRPr="002E3648">
        <w:rPr>
          <w:rFonts w:asciiTheme="majorHAnsi" w:hAnsiTheme="majorHAnsi" w:cs="Arial"/>
        </w:rPr>
        <w:t xml:space="preserve">elated to academic quality. </w:t>
      </w:r>
      <w:r w:rsidR="00F7425F" w:rsidRPr="002E3648">
        <w:rPr>
          <w:rFonts w:asciiTheme="majorHAnsi" w:hAnsiTheme="majorHAnsi" w:cs="Arial"/>
        </w:rPr>
        <w:t xml:space="preserve"> </w:t>
      </w:r>
    </w:p>
    <w:p w:rsidR="004969CC" w:rsidRPr="002E3648" w:rsidRDefault="004969CC">
      <w:pPr>
        <w:rPr>
          <w:rFonts w:asciiTheme="majorHAnsi" w:hAnsiTheme="majorHAnsi" w:cs="Arial"/>
        </w:rPr>
      </w:pPr>
    </w:p>
    <w:p w:rsidR="00766E8F" w:rsidRPr="002E3648" w:rsidRDefault="001B00E3" w:rsidP="00BB665F">
      <w:pPr>
        <w:widowControl w:val="0"/>
        <w:autoSpaceDE w:val="0"/>
        <w:autoSpaceDN w:val="0"/>
        <w:adjustRightInd w:val="0"/>
        <w:spacing w:after="240"/>
        <w:rPr>
          <w:rFonts w:asciiTheme="majorHAnsi" w:hAnsiTheme="majorHAnsi" w:cs="Arial"/>
        </w:rPr>
      </w:pPr>
      <w:r w:rsidRPr="002E3648">
        <w:rPr>
          <w:rFonts w:asciiTheme="majorHAnsi" w:hAnsiTheme="majorHAnsi" w:cs="Arial"/>
        </w:rPr>
        <w:t>E</w:t>
      </w:r>
      <w:r w:rsidR="004A5883" w:rsidRPr="002E3648">
        <w:rPr>
          <w:rFonts w:asciiTheme="majorHAnsi" w:hAnsiTheme="majorHAnsi" w:cs="Arial"/>
        </w:rPr>
        <w:t xml:space="preserve">fforts to address these issues </w:t>
      </w:r>
      <w:r w:rsidR="007075A2" w:rsidRPr="002E3648">
        <w:rPr>
          <w:rFonts w:asciiTheme="majorHAnsi" w:hAnsiTheme="majorHAnsi" w:cs="Arial"/>
        </w:rPr>
        <w:t xml:space="preserve">must start with </w:t>
      </w:r>
      <w:r w:rsidR="00676E51" w:rsidRPr="002E3648">
        <w:rPr>
          <w:rFonts w:asciiTheme="majorHAnsi" w:hAnsiTheme="majorHAnsi" w:cs="Arial"/>
        </w:rPr>
        <w:t>a</w:t>
      </w:r>
      <w:r w:rsidR="00465B02" w:rsidRPr="002E3648">
        <w:rPr>
          <w:rFonts w:asciiTheme="majorHAnsi" w:hAnsiTheme="majorHAnsi" w:cs="Arial"/>
        </w:rPr>
        <w:t xml:space="preserve"> review of </w:t>
      </w:r>
      <w:r w:rsidR="007075A2" w:rsidRPr="002E3648">
        <w:rPr>
          <w:rFonts w:asciiTheme="majorHAnsi" w:hAnsiTheme="majorHAnsi" w:cs="Arial"/>
        </w:rPr>
        <w:t xml:space="preserve">Part H </w:t>
      </w:r>
      <w:r w:rsidR="004A5883" w:rsidRPr="002E3648">
        <w:rPr>
          <w:rFonts w:asciiTheme="majorHAnsi" w:hAnsiTheme="majorHAnsi" w:cs="Arial"/>
        </w:rPr>
        <w:t xml:space="preserve">“Program Integrity” </w:t>
      </w:r>
      <w:r w:rsidR="007075A2" w:rsidRPr="002E3648">
        <w:rPr>
          <w:rFonts w:asciiTheme="majorHAnsi" w:hAnsiTheme="majorHAnsi" w:cs="Arial"/>
        </w:rPr>
        <w:t xml:space="preserve">of the Higher Education </w:t>
      </w:r>
      <w:r w:rsidR="00505E63" w:rsidRPr="002E3648">
        <w:rPr>
          <w:rFonts w:asciiTheme="majorHAnsi" w:hAnsiTheme="majorHAnsi" w:cs="Arial"/>
        </w:rPr>
        <w:t>Act, which</w:t>
      </w:r>
      <w:r w:rsidR="00465B02" w:rsidRPr="002E3648">
        <w:rPr>
          <w:rFonts w:asciiTheme="majorHAnsi" w:hAnsiTheme="majorHAnsi" w:cs="Arial"/>
        </w:rPr>
        <w:t xml:space="preserve"> </w:t>
      </w:r>
      <w:r w:rsidR="0080050A" w:rsidRPr="002E3648">
        <w:rPr>
          <w:rFonts w:asciiTheme="majorHAnsi" w:hAnsiTheme="majorHAnsi" w:cs="Arial"/>
        </w:rPr>
        <w:t>set</w:t>
      </w:r>
      <w:r w:rsidR="00C82C3F" w:rsidRPr="002E3648">
        <w:rPr>
          <w:rFonts w:asciiTheme="majorHAnsi" w:hAnsiTheme="majorHAnsi" w:cs="Arial"/>
        </w:rPr>
        <w:t>s</w:t>
      </w:r>
      <w:r w:rsidR="00C957D5" w:rsidRPr="002E3648">
        <w:rPr>
          <w:rFonts w:asciiTheme="majorHAnsi" w:hAnsiTheme="majorHAnsi" w:cs="Arial"/>
        </w:rPr>
        <w:t xml:space="preserve"> forth the federal </w:t>
      </w:r>
      <w:r w:rsidR="0087547B" w:rsidRPr="002E3648">
        <w:rPr>
          <w:rFonts w:asciiTheme="majorHAnsi" w:hAnsiTheme="majorHAnsi" w:cs="Arial"/>
        </w:rPr>
        <w:t xml:space="preserve">criteria through which accreditors are </w:t>
      </w:r>
      <w:r w:rsidR="00A434FD" w:rsidRPr="002E3648">
        <w:rPr>
          <w:rFonts w:asciiTheme="majorHAnsi" w:hAnsiTheme="majorHAnsi" w:cs="Arial"/>
        </w:rPr>
        <w:t xml:space="preserve">recognized </w:t>
      </w:r>
      <w:r w:rsidR="00A21366" w:rsidRPr="002E3648">
        <w:rPr>
          <w:rFonts w:asciiTheme="majorHAnsi" w:hAnsiTheme="majorHAnsi" w:cs="Arial"/>
        </w:rPr>
        <w:t>by the Secretary of Education</w:t>
      </w:r>
      <w:r w:rsidR="00905AAE" w:rsidRPr="002E3648">
        <w:rPr>
          <w:rFonts w:asciiTheme="majorHAnsi" w:hAnsiTheme="majorHAnsi" w:cs="Arial"/>
        </w:rPr>
        <w:t xml:space="preserve"> on the recommendation of the National Advisory </w:t>
      </w:r>
      <w:r w:rsidR="0080397B" w:rsidRPr="002E3648">
        <w:rPr>
          <w:rFonts w:asciiTheme="majorHAnsi" w:hAnsiTheme="majorHAnsi" w:cs="Arial"/>
        </w:rPr>
        <w:t>Committee on Intuitional Quality and Integrity</w:t>
      </w:r>
      <w:r w:rsidR="00044FBF" w:rsidRPr="002E3648">
        <w:rPr>
          <w:rFonts w:asciiTheme="majorHAnsi" w:hAnsiTheme="majorHAnsi" w:cs="Arial"/>
        </w:rPr>
        <w:t xml:space="preserve"> (NACIQ</w:t>
      </w:r>
      <w:r w:rsidR="0080397B" w:rsidRPr="002E3648">
        <w:rPr>
          <w:rFonts w:asciiTheme="majorHAnsi" w:hAnsiTheme="majorHAnsi" w:cs="Arial"/>
        </w:rPr>
        <w:t>I</w:t>
      </w:r>
      <w:r w:rsidR="00044FBF" w:rsidRPr="002E3648">
        <w:rPr>
          <w:rFonts w:asciiTheme="majorHAnsi" w:hAnsiTheme="majorHAnsi" w:cs="Arial"/>
        </w:rPr>
        <w:t>)</w:t>
      </w:r>
      <w:r w:rsidR="00A21366" w:rsidRPr="002E3648">
        <w:rPr>
          <w:rFonts w:asciiTheme="majorHAnsi" w:hAnsiTheme="majorHAnsi" w:cs="Arial"/>
        </w:rPr>
        <w:t xml:space="preserve">.  </w:t>
      </w:r>
      <w:r w:rsidR="00C957D5" w:rsidRPr="002E3648">
        <w:rPr>
          <w:rFonts w:asciiTheme="majorHAnsi" w:hAnsiTheme="majorHAnsi" w:cs="Arial"/>
        </w:rPr>
        <w:t xml:space="preserve">These </w:t>
      </w:r>
      <w:r w:rsidR="0044310C" w:rsidRPr="002E3648">
        <w:rPr>
          <w:rFonts w:asciiTheme="majorHAnsi" w:hAnsiTheme="majorHAnsi" w:cs="Arial"/>
        </w:rPr>
        <w:t>provisions</w:t>
      </w:r>
      <w:r w:rsidR="0080050A" w:rsidRPr="002E3648">
        <w:rPr>
          <w:rFonts w:asciiTheme="majorHAnsi" w:hAnsiTheme="majorHAnsi" w:cs="Arial"/>
        </w:rPr>
        <w:t xml:space="preserve"> </w:t>
      </w:r>
      <w:r w:rsidR="00042AA5" w:rsidRPr="002E3648">
        <w:rPr>
          <w:rFonts w:asciiTheme="majorHAnsi" w:hAnsiTheme="majorHAnsi" w:cs="Arial"/>
        </w:rPr>
        <w:t xml:space="preserve">encompass </w:t>
      </w:r>
      <w:r w:rsidR="00C82C3F" w:rsidRPr="002E3648">
        <w:rPr>
          <w:rFonts w:asciiTheme="majorHAnsi" w:hAnsiTheme="majorHAnsi" w:cs="Arial"/>
        </w:rPr>
        <w:t>ten</w:t>
      </w:r>
      <w:r w:rsidR="00A434FD" w:rsidRPr="002E3648">
        <w:rPr>
          <w:rFonts w:asciiTheme="majorHAnsi" w:hAnsiTheme="majorHAnsi" w:cs="Arial"/>
        </w:rPr>
        <w:t xml:space="preserve"> federally required standards that accreditors must </w:t>
      </w:r>
      <w:r w:rsidR="004F2161" w:rsidRPr="002E3648">
        <w:rPr>
          <w:rFonts w:asciiTheme="majorHAnsi" w:hAnsiTheme="majorHAnsi" w:cs="Arial"/>
        </w:rPr>
        <w:t>apply to institutions to assess</w:t>
      </w:r>
      <w:r w:rsidR="00A21366" w:rsidRPr="002E3648">
        <w:rPr>
          <w:rFonts w:asciiTheme="majorHAnsi" w:hAnsiTheme="majorHAnsi" w:cs="Arial"/>
        </w:rPr>
        <w:t xml:space="preserve"> institutional quality</w:t>
      </w:r>
      <w:r w:rsidR="000E44FA" w:rsidRPr="002E3648">
        <w:rPr>
          <w:rFonts w:asciiTheme="majorHAnsi" w:hAnsiTheme="majorHAnsi" w:cs="Arial"/>
        </w:rPr>
        <w:t xml:space="preserve"> and </w:t>
      </w:r>
      <w:r w:rsidR="00C957D5" w:rsidRPr="002E3648">
        <w:rPr>
          <w:rFonts w:asciiTheme="majorHAnsi" w:hAnsiTheme="majorHAnsi" w:cs="Arial"/>
        </w:rPr>
        <w:t xml:space="preserve">are </w:t>
      </w:r>
      <w:r w:rsidR="00505E63" w:rsidRPr="002E3648">
        <w:rPr>
          <w:rFonts w:asciiTheme="majorHAnsi" w:hAnsiTheme="majorHAnsi" w:cs="Arial"/>
        </w:rPr>
        <w:t xml:space="preserve">the foci of the vast majority of </w:t>
      </w:r>
      <w:r w:rsidR="00676E51" w:rsidRPr="002E3648">
        <w:rPr>
          <w:rFonts w:asciiTheme="majorHAnsi" w:hAnsiTheme="majorHAnsi" w:cs="Arial"/>
        </w:rPr>
        <w:t>regulations</w:t>
      </w:r>
      <w:r w:rsidR="00505E63" w:rsidRPr="002E3648">
        <w:rPr>
          <w:rFonts w:asciiTheme="majorHAnsi" w:hAnsiTheme="majorHAnsi" w:cs="Arial"/>
        </w:rPr>
        <w:t xml:space="preserve"> and </w:t>
      </w:r>
      <w:r w:rsidR="00766E8F" w:rsidRPr="002E3648">
        <w:rPr>
          <w:rFonts w:asciiTheme="majorHAnsi" w:hAnsiTheme="majorHAnsi" w:cs="Arial"/>
        </w:rPr>
        <w:t>sub-</w:t>
      </w:r>
      <w:r w:rsidR="00676E51" w:rsidRPr="002E3648">
        <w:rPr>
          <w:rFonts w:asciiTheme="majorHAnsi" w:hAnsiTheme="majorHAnsi" w:cs="Arial"/>
        </w:rPr>
        <w:t>regulatory</w:t>
      </w:r>
      <w:r w:rsidR="00505E63" w:rsidRPr="002E3648">
        <w:rPr>
          <w:rFonts w:asciiTheme="majorHAnsi" w:hAnsiTheme="majorHAnsi" w:cs="Arial"/>
        </w:rPr>
        <w:t xml:space="preserve"> guidance impacting accreditors</w:t>
      </w:r>
      <w:r w:rsidR="00676E51" w:rsidRPr="002E3648">
        <w:rPr>
          <w:rFonts w:asciiTheme="majorHAnsi" w:hAnsiTheme="majorHAnsi" w:cs="Arial"/>
        </w:rPr>
        <w:t xml:space="preserve">. </w:t>
      </w:r>
      <w:r w:rsidR="00A36EEA" w:rsidRPr="002E3648">
        <w:rPr>
          <w:rFonts w:asciiTheme="majorHAnsi" w:hAnsiTheme="majorHAnsi" w:cs="Arial"/>
        </w:rPr>
        <w:t xml:space="preserve"> </w:t>
      </w:r>
    </w:p>
    <w:p w:rsidR="00BB665F" w:rsidRPr="002E3648" w:rsidRDefault="00B85B92" w:rsidP="00BB665F">
      <w:pPr>
        <w:widowControl w:val="0"/>
        <w:autoSpaceDE w:val="0"/>
        <w:autoSpaceDN w:val="0"/>
        <w:adjustRightInd w:val="0"/>
        <w:spacing w:after="240"/>
        <w:rPr>
          <w:rFonts w:asciiTheme="majorHAnsi" w:hAnsiTheme="majorHAnsi" w:cs="Times"/>
        </w:rPr>
      </w:pPr>
      <w:r w:rsidRPr="002E3648">
        <w:rPr>
          <w:rFonts w:asciiTheme="majorHAnsi" w:hAnsiTheme="majorHAnsi" w:cs="Arial"/>
        </w:rPr>
        <w:t>“S</w:t>
      </w:r>
      <w:r w:rsidRPr="002E3648">
        <w:rPr>
          <w:rFonts w:asciiTheme="majorHAnsi" w:hAnsiTheme="majorHAnsi" w:cs="Times"/>
        </w:rPr>
        <w:t>uccess with respect to student achievement in relation to the institution’s mission...” is the first</w:t>
      </w:r>
      <w:r w:rsidR="0075433C" w:rsidRPr="002E3648">
        <w:rPr>
          <w:rFonts w:asciiTheme="majorHAnsi" w:hAnsiTheme="majorHAnsi" w:cs="Times"/>
        </w:rPr>
        <w:t xml:space="preserve">, and we believe most important, </w:t>
      </w:r>
      <w:r w:rsidR="009D1579" w:rsidRPr="002E3648">
        <w:rPr>
          <w:rFonts w:asciiTheme="majorHAnsi" w:hAnsiTheme="majorHAnsi" w:cs="Times"/>
        </w:rPr>
        <w:t>st</w:t>
      </w:r>
      <w:r w:rsidR="0075433C" w:rsidRPr="002E3648">
        <w:rPr>
          <w:rFonts w:asciiTheme="majorHAnsi" w:hAnsiTheme="majorHAnsi" w:cs="Times"/>
        </w:rPr>
        <w:t>andard listed under the statute.  However, for fed</w:t>
      </w:r>
      <w:r w:rsidR="00F22F28" w:rsidRPr="002E3648">
        <w:rPr>
          <w:rFonts w:asciiTheme="majorHAnsi" w:hAnsiTheme="majorHAnsi" w:cs="Times"/>
        </w:rPr>
        <w:t>eral purposes, we believe</w:t>
      </w:r>
      <w:r w:rsidR="002C7AF0" w:rsidRPr="002E3648">
        <w:rPr>
          <w:rFonts w:asciiTheme="majorHAnsi" w:hAnsiTheme="majorHAnsi" w:cs="Times"/>
        </w:rPr>
        <w:t xml:space="preserve"> t</w:t>
      </w:r>
      <w:r w:rsidR="00BE2558" w:rsidRPr="002E3648">
        <w:rPr>
          <w:rFonts w:asciiTheme="majorHAnsi" w:hAnsiTheme="majorHAnsi" w:cs="Times"/>
        </w:rPr>
        <w:t>here are other standards</w:t>
      </w:r>
      <w:r w:rsidR="00BB665F" w:rsidRPr="002E3648">
        <w:rPr>
          <w:rFonts w:asciiTheme="majorHAnsi" w:hAnsiTheme="majorHAnsi" w:cs="Times"/>
        </w:rPr>
        <w:t xml:space="preserve"> that could be</w:t>
      </w:r>
      <w:r w:rsidR="00FC25AF" w:rsidRPr="002E3648">
        <w:rPr>
          <w:rFonts w:asciiTheme="majorHAnsi" w:hAnsiTheme="majorHAnsi" w:cs="Times"/>
        </w:rPr>
        <w:t xml:space="preserve"> considered for repeal, </w:t>
      </w:r>
      <w:r w:rsidR="00BB665F" w:rsidRPr="002E3648">
        <w:rPr>
          <w:rFonts w:asciiTheme="majorHAnsi" w:hAnsiTheme="majorHAnsi" w:cs="Times"/>
        </w:rPr>
        <w:t xml:space="preserve">thereby allowing accreditors to have a more streamlined recognition process focused on those issues truly related to institutional quality.   </w:t>
      </w:r>
    </w:p>
    <w:p w:rsidR="00FC25AF" w:rsidRPr="002E3648" w:rsidRDefault="00635BCF" w:rsidP="00D55DCA">
      <w:pPr>
        <w:widowControl w:val="0"/>
        <w:autoSpaceDE w:val="0"/>
        <w:autoSpaceDN w:val="0"/>
        <w:adjustRightInd w:val="0"/>
        <w:spacing w:after="240"/>
        <w:rPr>
          <w:rFonts w:asciiTheme="majorHAnsi" w:hAnsiTheme="majorHAnsi" w:cs="Times"/>
        </w:rPr>
      </w:pPr>
      <w:r w:rsidRPr="002E3648">
        <w:rPr>
          <w:rFonts w:asciiTheme="majorHAnsi" w:hAnsiTheme="majorHAnsi" w:cs="Times"/>
        </w:rPr>
        <w:t>On</w:t>
      </w:r>
      <w:r w:rsidR="00F05A01" w:rsidRPr="002E3648">
        <w:rPr>
          <w:rFonts w:asciiTheme="majorHAnsi" w:hAnsiTheme="majorHAnsi" w:cs="Times"/>
        </w:rPr>
        <w:t xml:space="preserve">e example is </w:t>
      </w:r>
      <w:r w:rsidR="004504C6" w:rsidRPr="002E3648">
        <w:rPr>
          <w:rFonts w:asciiTheme="majorHAnsi" w:hAnsiTheme="majorHAnsi" w:cs="Times"/>
        </w:rPr>
        <w:t xml:space="preserve">the </w:t>
      </w:r>
      <w:r w:rsidR="00FC25AF" w:rsidRPr="002E3648">
        <w:rPr>
          <w:rFonts w:asciiTheme="majorHAnsi" w:hAnsiTheme="majorHAnsi" w:cs="Times"/>
        </w:rPr>
        <w:t xml:space="preserve">federal </w:t>
      </w:r>
      <w:r w:rsidR="004504C6" w:rsidRPr="002E3648">
        <w:rPr>
          <w:rFonts w:asciiTheme="majorHAnsi" w:hAnsiTheme="majorHAnsi" w:cs="Times"/>
        </w:rPr>
        <w:t xml:space="preserve">requirement that we have standards </w:t>
      </w:r>
      <w:r w:rsidR="002B24AF" w:rsidRPr="002E3648">
        <w:rPr>
          <w:rFonts w:asciiTheme="majorHAnsi" w:hAnsiTheme="majorHAnsi" w:cs="Times"/>
        </w:rPr>
        <w:t xml:space="preserve">assessing </w:t>
      </w:r>
      <w:r w:rsidRPr="002E3648">
        <w:rPr>
          <w:rFonts w:asciiTheme="majorHAnsi" w:hAnsiTheme="majorHAnsi" w:cs="Times"/>
        </w:rPr>
        <w:t xml:space="preserve">institutional </w:t>
      </w:r>
      <w:r w:rsidR="002C7AF0" w:rsidRPr="002E3648">
        <w:rPr>
          <w:rFonts w:asciiTheme="majorHAnsi" w:hAnsiTheme="majorHAnsi" w:cs="Times"/>
        </w:rPr>
        <w:t>“facilities, equipment and supplies</w:t>
      </w:r>
      <w:r w:rsidRPr="002E3648">
        <w:rPr>
          <w:rFonts w:asciiTheme="majorHAnsi" w:hAnsiTheme="majorHAnsi" w:cs="Times"/>
        </w:rPr>
        <w:t>.</w:t>
      </w:r>
      <w:r w:rsidR="002C7AF0" w:rsidRPr="002E3648">
        <w:rPr>
          <w:rFonts w:asciiTheme="majorHAnsi" w:hAnsiTheme="majorHAnsi" w:cs="Times"/>
        </w:rPr>
        <w:t>”</w:t>
      </w:r>
      <w:r w:rsidR="002B24AF" w:rsidRPr="002E3648">
        <w:rPr>
          <w:rFonts w:asciiTheme="majorHAnsi" w:hAnsiTheme="majorHAnsi" w:cs="Times"/>
        </w:rPr>
        <w:t xml:space="preserve">  T</w:t>
      </w:r>
      <w:r w:rsidR="001955ED" w:rsidRPr="002E3648">
        <w:rPr>
          <w:rFonts w:asciiTheme="majorHAnsi" w:hAnsiTheme="majorHAnsi" w:cs="Times"/>
        </w:rPr>
        <w:t>his particular standard has led to much criticism (</w:t>
      </w:r>
      <w:r w:rsidR="00FD0AE9" w:rsidRPr="002E3648">
        <w:rPr>
          <w:rFonts w:asciiTheme="majorHAnsi" w:hAnsiTheme="majorHAnsi" w:cs="Times"/>
        </w:rPr>
        <w:t xml:space="preserve">including </w:t>
      </w:r>
      <w:r w:rsidR="001955ED" w:rsidRPr="002E3648">
        <w:rPr>
          <w:rFonts w:asciiTheme="majorHAnsi" w:hAnsiTheme="majorHAnsi" w:cs="Times"/>
        </w:rPr>
        <w:t>in the white paper) that accreditors focus</w:t>
      </w:r>
      <w:r w:rsidR="006639B2" w:rsidRPr="002E3648">
        <w:rPr>
          <w:rFonts w:asciiTheme="majorHAnsi" w:hAnsiTheme="majorHAnsi" w:cs="Times"/>
        </w:rPr>
        <w:t xml:space="preserve"> too much on “inputs” and not enough on output</w:t>
      </w:r>
      <w:r w:rsidR="001E31D4" w:rsidRPr="002E3648">
        <w:rPr>
          <w:rFonts w:asciiTheme="majorHAnsi" w:hAnsiTheme="majorHAnsi" w:cs="Times"/>
        </w:rPr>
        <w:t>s</w:t>
      </w:r>
      <w:r w:rsidR="006639B2" w:rsidRPr="002E3648">
        <w:rPr>
          <w:rFonts w:asciiTheme="majorHAnsi" w:hAnsiTheme="majorHAnsi" w:cs="Times"/>
        </w:rPr>
        <w:t xml:space="preserve"> – particularly </w:t>
      </w:r>
      <w:r w:rsidR="001E31D4" w:rsidRPr="002E3648">
        <w:rPr>
          <w:rFonts w:asciiTheme="majorHAnsi" w:hAnsiTheme="majorHAnsi" w:cs="Times"/>
        </w:rPr>
        <w:t>those</w:t>
      </w:r>
      <w:r w:rsidR="006639B2" w:rsidRPr="002E3648">
        <w:rPr>
          <w:rFonts w:asciiTheme="majorHAnsi" w:hAnsiTheme="majorHAnsi" w:cs="Times"/>
        </w:rPr>
        <w:t xml:space="preserve"> </w:t>
      </w:r>
      <w:r w:rsidR="001E31D4" w:rsidRPr="002E3648">
        <w:rPr>
          <w:rFonts w:asciiTheme="majorHAnsi" w:hAnsiTheme="majorHAnsi" w:cs="Times"/>
        </w:rPr>
        <w:t xml:space="preserve">related to student achievement.  </w:t>
      </w:r>
      <w:r w:rsidR="009C5E52" w:rsidRPr="002E3648">
        <w:rPr>
          <w:rFonts w:asciiTheme="majorHAnsi" w:hAnsiTheme="majorHAnsi" w:cs="Times"/>
        </w:rPr>
        <w:t xml:space="preserve">Although we </w:t>
      </w:r>
      <w:r w:rsidR="00653DED" w:rsidRPr="002E3648">
        <w:rPr>
          <w:rFonts w:asciiTheme="majorHAnsi" w:hAnsiTheme="majorHAnsi" w:cs="Times"/>
        </w:rPr>
        <w:t>believe that examining</w:t>
      </w:r>
      <w:r w:rsidR="00D765EB" w:rsidRPr="002E3648">
        <w:rPr>
          <w:rFonts w:asciiTheme="majorHAnsi" w:hAnsiTheme="majorHAnsi" w:cs="Times"/>
        </w:rPr>
        <w:t xml:space="preserve"> </w:t>
      </w:r>
      <w:r w:rsidR="00FC25AF" w:rsidRPr="002E3648">
        <w:rPr>
          <w:rFonts w:asciiTheme="majorHAnsi" w:hAnsiTheme="majorHAnsi" w:cs="Times"/>
        </w:rPr>
        <w:t xml:space="preserve">certain </w:t>
      </w:r>
      <w:r w:rsidR="00653DED" w:rsidRPr="002E3648">
        <w:rPr>
          <w:rFonts w:asciiTheme="majorHAnsi" w:hAnsiTheme="majorHAnsi" w:cs="Times"/>
        </w:rPr>
        <w:t xml:space="preserve">inputs </w:t>
      </w:r>
      <w:r w:rsidR="00FC25AF" w:rsidRPr="002E3648">
        <w:rPr>
          <w:rFonts w:asciiTheme="majorHAnsi" w:hAnsiTheme="majorHAnsi" w:cs="Times"/>
        </w:rPr>
        <w:t xml:space="preserve">can be </w:t>
      </w:r>
      <w:r w:rsidR="00653DED" w:rsidRPr="002E3648">
        <w:rPr>
          <w:rFonts w:asciiTheme="majorHAnsi" w:hAnsiTheme="majorHAnsi" w:cs="Times"/>
        </w:rPr>
        <w:t>an important component of an accreditation revi</w:t>
      </w:r>
      <w:r w:rsidR="00223E40" w:rsidRPr="002E3648">
        <w:rPr>
          <w:rFonts w:asciiTheme="majorHAnsi" w:hAnsiTheme="majorHAnsi" w:cs="Times"/>
        </w:rPr>
        <w:t>ew</w:t>
      </w:r>
      <w:r w:rsidR="00FC25AF" w:rsidRPr="002E3648">
        <w:rPr>
          <w:rFonts w:asciiTheme="majorHAnsi" w:hAnsiTheme="majorHAnsi" w:cs="Times"/>
        </w:rPr>
        <w:t>, we agree there’s merit in rethinking the extent to which each of the current standards should be federally mandated (and thus regulated) versus allowing individual accreditors</w:t>
      </w:r>
      <w:r w:rsidR="0007164F" w:rsidRPr="002E3648">
        <w:rPr>
          <w:rFonts w:asciiTheme="majorHAnsi" w:hAnsiTheme="majorHAnsi" w:cs="Times"/>
        </w:rPr>
        <w:t xml:space="preserve"> </w:t>
      </w:r>
      <w:r w:rsidR="00FC25AF" w:rsidRPr="002E3648">
        <w:rPr>
          <w:rFonts w:asciiTheme="majorHAnsi" w:hAnsiTheme="majorHAnsi" w:cs="Times"/>
        </w:rPr>
        <w:t xml:space="preserve">to determine the extent to which they are relevant and if so, how they should be defined and implemented.  </w:t>
      </w:r>
    </w:p>
    <w:p w:rsidR="0048779E" w:rsidRPr="002E3648" w:rsidRDefault="0048779E">
      <w:pPr>
        <w:rPr>
          <w:rFonts w:asciiTheme="majorHAnsi" w:hAnsiTheme="majorHAnsi" w:cs="Arial"/>
          <w:i/>
        </w:rPr>
      </w:pPr>
      <w:r w:rsidRPr="002E3648">
        <w:rPr>
          <w:rFonts w:asciiTheme="majorHAnsi" w:hAnsiTheme="majorHAnsi" w:cs="Arial"/>
          <w:i/>
        </w:rPr>
        <w:t>Proposal #2: Permit Flexibility and Nuance in Accreditation Reviews</w:t>
      </w:r>
    </w:p>
    <w:p w:rsidR="00D433CA" w:rsidRPr="002E3648" w:rsidRDefault="00D433CA">
      <w:pPr>
        <w:rPr>
          <w:rFonts w:asciiTheme="majorHAnsi" w:hAnsiTheme="majorHAnsi" w:cs="Arial"/>
          <w:i/>
        </w:rPr>
      </w:pPr>
    </w:p>
    <w:p w:rsidR="008910E3" w:rsidRPr="002E3648" w:rsidRDefault="00444FD1">
      <w:pPr>
        <w:rPr>
          <w:rFonts w:asciiTheme="majorHAnsi" w:hAnsiTheme="majorHAnsi" w:cs="Arial"/>
        </w:rPr>
      </w:pPr>
      <w:r w:rsidRPr="002E3648">
        <w:rPr>
          <w:rFonts w:asciiTheme="majorHAnsi" w:hAnsiTheme="majorHAnsi" w:cs="Arial"/>
        </w:rPr>
        <w:t xml:space="preserve">The white paper makes a compelling argument to </w:t>
      </w:r>
      <w:r w:rsidR="00C84D76" w:rsidRPr="002E3648">
        <w:rPr>
          <w:rFonts w:asciiTheme="majorHAnsi" w:hAnsiTheme="majorHAnsi" w:cs="Arial"/>
        </w:rPr>
        <w:t>provide accreditors explicit authority to establish “risk-adjusted” or differentiated reviews</w:t>
      </w:r>
      <w:r w:rsidR="00C82C3F" w:rsidRPr="002E3648">
        <w:rPr>
          <w:rFonts w:asciiTheme="majorHAnsi" w:hAnsiTheme="majorHAnsi" w:cs="Arial"/>
        </w:rPr>
        <w:t>,</w:t>
      </w:r>
      <w:r w:rsidR="00C84D76" w:rsidRPr="002E3648">
        <w:rPr>
          <w:rFonts w:asciiTheme="majorHAnsi" w:hAnsiTheme="majorHAnsi" w:cs="Arial"/>
        </w:rPr>
        <w:t xml:space="preserve"> to enable more attention to </w:t>
      </w:r>
      <w:r w:rsidR="0022046E" w:rsidRPr="002E3648">
        <w:rPr>
          <w:rFonts w:asciiTheme="majorHAnsi" w:hAnsiTheme="majorHAnsi" w:cs="Arial"/>
        </w:rPr>
        <w:t xml:space="preserve">institutions in need </w:t>
      </w:r>
      <w:r w:rsidR="00417AE9" w:rsidRPr="002E3648">
        <w:rPr>
          <w:rFonts w:asciiTheme="majorHAnsi" w:hAnsiTheme="majorHAnsi" w:cs="Arial"/>
        </w:rPr>
        <w:t>of additional</w:t>
      </w:r>
      <w:r w:rsidR="00C84D76" w:rsidRPr="002E3648">
        <w:rPr>
          <w:rFonts w:asciiTheme="majorHAnsi" w:hAnsiTheme="majorHAnsi" w:cs="Arial"/>
        </w:rPr>
        <w:t xml:space="preserve"> assista</w:t>
      </w:r>
      <w:r w:rsidR="000F2FE2" w:rsidRPr="002E3648">
        <w:rPr>
          <w:rFonts w:asciiTheme="majorHAnsi" w:hAnsiTheme="majorHAnsi" w:cs="Arial"/>
        </w:rPr>
        <w:t xml:space="preserve">nce while allowing for expedited </w:t>
      </w:r>
      <w:r w:rsidR="0022046E" w:rsidRPr="002E3648">
        <w:rPr>
          <w:rFonts w:asciiTheme="majorHAnsi" w:hAnsiTheme="majorHAnsi" w:cs="Arial"/>
        </w:rPr>
        <w:t xml:space="preserve">accreditation </w:t>
      </w:r>
      <w:r w:rsidR="00C84D76" w:rsidRPr="002E3648">
        <w:rPr>
          <w:rFonts w:asciiTheme="majorHAnsi" w:hAnsiTheme="majorHAnsi" w:cs="Arial"/>
        </w:rPr>
        <w:t>reviews of</w:t>
      </w:r>
      <w:r w:rsidR="000F2FE2" w:rsidRPr="002E3648">
        <w:rPr>
          <w:rFonts w:asciiTheme="majorHAnsi" w:hAnsiTheme="majorHAnsi" w:cs="Arial"/>
        </w:rPr>
        <w:t xml:space="preserve"> institutions </w:t>
      </w:r>
      <w:r w:rsidR="00C84D76" w:rsidRPr="002E3648">
        <w:rPr>
          <w:rFonts w:asciiTheme="majorHAnsi" w:hAnsiTheme="majorHAnsi" w:cs="Arial"/>
        </w:rPr>
        <w:t>with “superior track records.”</w:t>
      </w:r>
      <w:r w:rsidR="000F2FE2" w:rsidRPr="002E3648">
        <w:rPr>
          <w:rFonts w:asciiTheme="majorHAnsi" w:hAnsiTheme="majorHAnsi" w:cs="Arial"/>
        </w:rPr>
        <w:t xml:space="preserve"> </w:t>
      </w:r>
      <w:r w:rsidR="00DA1477" w:rsidRPr="002E3648">
        <w:rPr>
          <w:rFonts w:asciiTheme="majorHAnsi" w:hAnsiTheme="majorHAnsi" w:cs="Arial"/>
        </w:rPr>
        <w:t xml:space="preserve">It is worth pointing out, however, that while there are likely to be quite a number of schools that would fall into this “superior” category by nearly any measure, there are perhaps an even greater number of institutions that may fall right on the borderline of “superior” and the next category, and on through the entire new rating system.  As a result, while </w:t>
      </w:r>
      <w:r w:rsidR="000F2FE2" w:rsidRPr="002E3648">
        <w:rPr>
          <w:rFonts w:asciiTheme="majorHAnsi" w:hAnsiTheme="majorHAnsi" w:cs="Arial"/>
        </w:rPr>
        <w:t>we appreciate the call for clarifying</w:t>
      </w:r>
      <w:r w:rsidR="00845B93" w:rsidRPr="002E3648">
        <w:rPr>
          <w:rFonts w:asciiTheme="majorHAnsi" w:hAnsiTheme="majorHAnsi" w:cs="Arial"/>
        </w:rPr>
        <w:t xml:space="preserve"> this authority, we are concerned with the </w:t>
      </w:r>
      <w:r w:rsidR="00417AE9" w:rsidRPr="002E3648">
        <w:rPr>
          <w:rFonts w:asciiTheme="majorHAnsi" w:hAnsiTheme="majorHAnsi" w:cs="Arial"/>
        </w:rPr>
        <w:t xml:space="preserve">potential </w:t>
      </w:r>
      <w:r w:rsidR="00845B93" w:rsidRPr="002E3648">
        <w:rPr>
          <w:rFonts w:asciiTheme="majorHAnsi" w:hAnsiTheme="majorHAnsi" w:cs="Arial"/>
        </w:rPr>
        <w:t xml:space="preserve">unintended consequence of </w:t>
      </w:r>
      <w:r w:rsidR="00191A4E" w:rsidRPr="002E3648">
        <w:rPr>
          <w:rFonts w:asciiTheme="majorHAnsi" w:hAnsiTheme="majorHAnsi" w:cs="Arial"/>
        </w:rPr>
        <w:t>establishing</w:t>
      </w:r>
      <w:r w:rsidR="00845B93" w:rsidRPr="002E3648">
        <w:rPr>
          <w:rFonts w:asciiTheme="majorHAnsi" w:hAnsiTheme="majorHAnsi" w:cs="Arial"/>
        </w:rPr>
        <w:t xml:space="preserve"> a federal regulatory foothold for what </w:t>
      </w:r>
      <w:r w:rsidR="00191A4E" w:rsidRPr="002E3648">
        <w:rPr>
          <w:rFonts w:asciiTheme="majorHAnsi" w:hAnsiTheme="majorHAnsi" w:cs="Arial"/>
        </w:rPr>
        <w:t>would constitute</w:t>
      </w:r>
      <w:r w:rsidR="004877C6" w:rsidRPr="002E3648">
        <w:rPr>
          <w:rFonts w:asciiTheme="majorHAnsi" w:hAnsiTheme="majorHAnsi" w:cs="Arial"/>
        </w:rPr>
        <w:t xml:space="preserve">, for example, </w:t>
      </w:r>
      <w:r w:rsidR="00191A4E" w:rsidRPr="002E3648">
        <w:rPr>
          <w:rFonts w:asciiTheme="majorHAnsi" w:hAnsiTheme="majorHAnsi" w:cs="Arial"/>
        </w:rPr>
        <w:t xml:space="preserve">a “superior track record.”  </w:t>
      </w:r>
    </w:p>
    <w:p w:rsidR="008910E3" w:rsidRPr="002E3648" w:rsidRDefault="008910E3">
      <w:pPr>
        <w:rPr>
          <w:rFonts w:asciiTheme="majorHAnsi" w:hAnsiTheme="majorHAnsi" w:cs="Arial"/>
        </w:rPr>
      </w:pPr>
    </w:p>
    <w:p w:rsidR="00DA1477" w:rsidRPr="002E3648" w:rsidRDefault="008910E3">
      <w:pPr>
        <w:rPr>
          <w:rFonts w:asciiTheme="majorHAnsi" w:hAnsiTheme="majorHAnsi" w:cs="Arial"/>
        </w:rPr>
      </w:pPr>
      <w:r w:rsidRPr="002E3648">
        <w:rPr>
          <w:rFonts w:asciiTheme="majorHAnsi" w:hAnsiTheme="majorHAnsi" w:cs="Arial"/>
        </w:rPr>
        <w:t>We also question the extent to which explicit authority is actually necessary. Under the Higher Education Act, accreditors must consistently apply and enforce standards</w:t>
      </w:r>
      <w:r w:rsidR="0007164F" w:rsidRPr="002E3648">
        <w:rPr>
          <w:rFonts w:asciiTheme="majorHAnsi" w:hAnsiTheme="majorHAnsi" w:cs="Arial"/>
        </w:rPr>
        <w:t xml:space="preserve">, </w:t>
      </w:r>
      <w:r w:rsidR="00EE7627" w:rsidRPr="002E3648">
        <w:rPr>
          <w:rFonts w:asciiTheme="majorHAnsi" w:hAnsiTheme="majorHAnsi" w:cs="Arial"/>
        </w:rPr>
        <w:t xml:space="preserve">as </w:t>
      </w:r>
      <w:r w:rsidR="0007164F" w:rsidRPr="002E3648">
        <w:rPr>
          <w:rFonts w:asciiTheme="majorHAnsi" w:hAnsiTheme="majorHAnsi" w:cs="Arial"/>
        </w:rPr>
        <w:t xml:space="preserve">determined by their </w:t>
      </w:r>
      <w:r w:rsidR="00EE7627" w:rsidRPr="002E3648">
        <w:rPr>
          <w:rFonts w:asciiTheme="majorHAnsi" w:hAnsiTheme="majorHAnsi" w:cs="Arial"/>
        </w:rPr>
        <w:t xml:space="preserve">members, which </w:t>
      </w:r>
      <w:r w:rsidRPr="002E3648">
        <w:rPr>
          <w:rFonts w:asciiTheme="majorHAnsi" w:hAnsiTheme="majorHAnsi" w:cs="Arial"/>
        </w:rPr>
        <w:t xml:space="preserve">respect the “stated mission of the institution of higher education.” This authority has essentially allowed for “differentiated” reviews among institutions, although accreditation standards themselves remain consistent across all institutions.  Between reviews, </w:t>
      </w:r>
      <w:r w:rsidRPr="002E3648">
        <w:rPr>
          <w:rFonts w:asciiTheme="majorHAnsi" w:hAnsiTheme="majorHAnsi"/>
        </w:rPr>
        <w:t xml:space="preserve">accreditors use a variety of reports and visits to continually monitor institutions in order to identify those at-risk of not meeting the accreditation standards and in need of greater attention. This same process enables accreditors to provide additional flexibility to low-risk institutions, such as through less frequent reviews. All accreditors can point to examples where this type of “risk-adjusted” approach occurs in their region. </w:t>
      </w:r>
      <w:r w:rsidRPr="002E3648">
        <w:rPr>
          <w:rFonts w:asciiTheme="majorHAnsi" w:hAnsiTheme="majorHAnsi" w:cs="Arial"/>
        </w:rPr>
        <w:t>This process has worked well for institutions and accreditors alike, and should remain.</w:t>
      </w:r>
      <w:r w:rsidR="00775B05" w:rsidRPr="002E3648">
        <w:rPr>
          <w:rFonts w:asciiTheme="majorHAnsi" w:hAnsiTheme="majorHAnsi" w:cs="Arial"/>
        </w:rPr>
        <w:t xml:space="preserve"> </w:t>
      </w:r>
    </w:p>
    <w:p w:rsidR="0085498C" w:rsidRPr="002E3648" w:rsidRDefault="0085498C">
      <w:pPr>
        <w:rPr>
          <w:rFonts w:asciiTheme="majorHAnsi" w:hAnsiTheme="majorHAnsi"/>
        </w:rPr>
      </w:pPr>
    </w:p>
    <w:p w:rsidR="001A63EF" w:rsidRPr="002E3648" w:rsidRDefault="0048779E" w:rsidP="009823CC">
      <w:pPr>
        <w:rPr>
          <w:rFonts w:asciiTheme="majorHAnsi" w:hAnsiTheme="majorHAnsi"/>
          <w:i/>
        </w:rPr>
      </w:pPr>
      <w:r w:rsidRPr="002E3648">
        <w:rPr>
          <w:rFonts w:asciiTheme="majorHAnsi" w:hAnsiTheme="majorHAnsi"/>
          <w:i/>
        </w:rPr>
        <w:t>Proposal #3: Encourage Gradation, Distinction and Clarity in Accreditation Status and Reviews</w:t>
      </w:r>
    </w:p>
    <w:p w:rsidR="008910E3" w:rsidRPr="002E3648" w:rsidRDefault="008910E3">
      <w:pPr>
        <w:rPr>
          <w:rFonts w:asciiTheme="majorHAnsi" w:hAnsiTheme="majorHAnsi"/>
        </w:rPr>
      </w:pPr>
    </w:p>
    <w:p w:rsidR="00E32A95" w:rsidRPr="002E3648" w:rsidRDefault="009B0BB8">
      <w:pPr>
        <w:rPr>
          <w:rFonts w:asciiTheme="majorHAnsi" w:hAnsiTheme="majorHAnsi" w:cs="Arial"/>
        </w:rPr>
      </w:pPr>
      <w:r w:rsidRPr="002E3648">
        <w:rPr>
          <w:rFonts w:asciiTheme="majorHAnsi" w:hAnsiTheme="majorHAnsi"/>
        </w:rPr>
        <w:t>Addressing t</w:t>
      </w:r>
      <w:r w:rsidR="00BB079B" w:rsidRPr="002E3648">
        <w:rPr>
          <w:rFonts w:asciiTheme="majorHAnsi" w:hAnsiTheme="majorHAnsi"/>
        </w:rPr>
        <w:t xml:space="preserve">he “pass/fail” dynamic of accreditation </w:t>
      </w:r>
      <w:r w:rsidR="009C61C1" w:rsidRPr="002E3648">
        <w:rPr>
          <w:rFonts w:asciiTheme="majorHAnsi" w:hAnsiTheme="majorHAnsi"/>
        </w:rPr>
        <w:t xml:space="preserve">as </w:t>
      </w:r>
      <w:r w:rsidR="00BB079B" w:rsidRPr="002E3648">
        <w:rPr>
          <w:rFonts w:asciiTheme="majorHAnsi" w:hAnsiTheme="majorHAnsi"/>
        </w:rPr>
        <w:t>outlined in the white paper is</w:t>
      </w:r>
      <w:r w:rsidRPr="002E3648">
        <w:rPr>
          <w:rFonts w:asciiTheme="majorHAnsi" w:hAnsiTheme="majorHAnsi"/>
        </w:rPr>
        <w:t xml:space="preserve"> an issue of growing interest</w:t>
      </w:r>
      <w:r w:rsidR="009C61C1" w:rsidRPr="002E3648">
        <w:rPr>
          <w:rFonts w:asciiTheme="majorHAnsi" w:hAnsiTheme="majorHAnsi"/>
        </w:rPr>
        <w:t xml:space="preserve"> among </w:t>
      </w:r>
      <w:r w:rsidRPr="002E3648">
        <w:rPr>
          <w:rFonts w:asciiTheme="majorHAnsi" w:hAnsiTheme="majorHAnsi"/>
        </w:rPr>
        <w:t>students an</w:t>
      </w:r>
      <w:r w:rsidR="00D93757" w:rsidRPr="002E3648">
        <w:rPr>
          <w:rFonts w:asciiTheme="majorHAnsi" w:hAnsiTheme="majorHAnsi"/>
        </w:rPr>
        <w:t>d</w:t>
      </w:r>
      <w:r w:rsidRPr="002E3648">
        <w:rPr>
          <w:rFonts w:asciiTheme="majorHAnsi" w:hAnsiTheme="majorHAnsi"/>
        </w:rPr>
        <w:t xml:space="preserve"> institution</w:t>
      </w:r>
      <w:r w:rsidR="00537F90" w:rsidRPr="002E3648">
        <w:rPr>
          <w:rFonts w:asciiTheme="majorHAnsi" w:hAnsiTheme="majorHAnsi"/>
        </w:rPr>
        <w:t>s</w:t>
      </w:r>
      <w:r w:rsidRPr="002E3648">
        <w:rPr>
          <w:rFonts w:asciiTheme="majorHAnsi" w:hAnsiTheme="majorHAnsi"/>
        </w:rPr>
        <w:t xml:space="preserve"> alike</w:t>
      </w:r>
      <w:r w:rsidR="00282B6A" w:rsidRPr="002E3648">
        <w:rPr>
          <w:rFonts w:asciiTheme="majorHAnsi" w:hAnsiTheme="majorHAnsi"/>
        </w:rPr>
        <w:t xml:space="preserve">.  </w:t>
      </w:r>
      <w:r w:rsidR="0088228D" w:rsidRPr="002E3648">
        <w:rPr>
          <w:rFonts w:asciiTheme="majorHAnsi" w:hAnsiTheme="majorHAnsi"/>
        </w:rPr>
        <w:t xml:space="preserve">C-RAC believes there is room for conversation on what some level of customization </w:t>
      </w:r>
      <w:r w:rsidR="00774537" w:rsidRPr="002E3648">
        <w:rPr>
          <w:rFonts w:asciiTheme="majorHAnsi" w:hAnsiTheme="majorHAnsi"/>
        </w:rPr>
        <w:t xml:space="preserve">of accreditation </w:t>
      </w:r>
      <w:r w:rsidR="0088228D" w:rsidRPr="002E3648">
        <w:rPr>
          <w:rFonts w:asciiTheme="majorHAnsi" w:hAnsiTheme="majorHAnsi"/>
        </w:rPr>
        <w:t xml:space="preserve">might look like. </w:t>
      </w:r>
      <w:r w:rsidR="00537F90" w:rsidRPr="002E3648">
        <w:rPr>
          <w:rFonts w:asciiTheme="majorHAnsi" w:hAnsiTheme="majorHAnsi"/>
        </w:rPr>
        <w:t xml:space="preserve"> </w:t>
      </w:r>
      <w:r w:rsidR="0088228D" w:rsidRPr="002E3648">
        <w:rPr>
          <w:rFonts w:asciiTheme="majorHAnsi" w:hAnsiTheme="majorHAnsi"/>
        </w:rPr>
        <w:t>Howeve</w:t>
      </w:r>
      <w:r w:rsidR="00537F90" w:rsidRPr="002E3648">
        <w:rPr>
          <w:rFonts w:asciiTheme="majorHAnsi" w:hAnsiTheme="majorHAnsi"/>
        </w:rPr>
        <w:t xml:space="preserve">r, such a change in </w:t>
      </w:r>
      <w:r w:rsidR="00D93757" w:rsidRPr="002E3648">
        <w:rPr>
          <w:rFonts w:asciiTheme="majorHAnsi" w:hAnsiTheme="majorHAnsi"/>
        </w:rPr>
        <w:t>accreditation gradations</w:t>
      </w:r>
      <w:r w:rsidR="00537F90" w:rsidRPr="002E3648">
        <w:rPr>
          <w:rFonts w:asciiTheme="majorHAnsi" w:hAnsiTheme="majorHAnsi"/>
        </w:rPr>
        <w:t xml:space="preserve"> c</w:t>
      </w:r>
      <w:r w:rsidR="0088228D" w:rsidRPr="002E3648">
        <w:rPr>
          <w:rFonts w:asciiTheme="majorHAnsi" w:hAnsiTheme="majorHAnsi"/>
        </w:rPr>
        <w:t>ould ultimately require accreditors – unilaterally, or with guida</w:t>
      </w:r>
      <w:r w:rsidR="00C82C3F" w:rsidRPr="002E3648">
        <w:rPr>
          <w:rFonts w:asciiTheme="majorHAnsi" w:hAnsiTheme="majorHAnsi"/>
        </w:rPr>
        <w:t>nce from the Department of Education</w:t>
      </w:r>
      <w:r w:rsidR="0088228D" w:rsidRPr="002E3648">
        <w:rPr>
          <w:rFonts w:asciiTheme="majorHAnsi" w:hAnsiTheme="majorHAnsi"/>
        </w:rPr>
        <w:t xml:space="preserve"> or Congress – to begin comparing the relative quality of institutions to determine which would be deemed </w:t>
      </w:r>
      <w:r w:rsidR="00F31634" w:rsidRPr="002E3648">
        <w:rPr>
          <w:rFonts w:asciiTheme="majorHAnsi" w:hAnsiTheme="majorHAnsi"/>
        </w:rPr>
        <w:t>to fit in each tier</w:t>
      </w:r>
      <w:r w:rsidR="0088228D" w:rsidRPr="002E3648">
        <w:rPr>
          <w:rFonts w:asciiTheme="majorHAnsi" w:hAnsiTheme="majorHAnsi"/>
        </w:rPr>
        <w:t xml:space="preserve">. </w:t>
      </w:r>
      <w:r w:rsidR="00537F90" w:rsidRPr="002E3648">
        <w:rPr>
          <w:rFonts w:asciiTheme="majorHAnsi" w:hAnsiTheme="majorHAnsi"/>
        </w:rPr>
        <w:t xml:space="preserve"> </w:t>
      </w:r>
      <w:r w:rsidR="00774537" w:rsidRPr="002E3648">
        <w:rPr>
          <w:rFonts w:asciiTheme="majorHAnsi" w:hAnsiTheme="majorHAnsi"/>
        </w:rPr>
        <w:t>A</w:t>
      </w:r>
      <w:r w:rsidR="00BA6D42" w:rsidRPr="002E3648">
        <w:rPr>
          <w:rFonts w:asciiTheme="majorHAnsi" w:hAnsiTheme="majorHAnsi"/>
        </w:rPr>
        <w:t xml:space="preserve">s with the </w:t>
      </w:r>
      <w:r w:rsidR="00537F90" w:rsidRPr="002E3648">
        <w:rPr>
          <w:rFonts w:asciiTheme="majorHAnsi" w:hAnsiTheme="majorHAnsi"/>
        </w:rPr>
        <w:t>above-mentioned</w:t>
      </w:r>
      <w:r w:rsidR="00BA6D42" w:rsidRPr="002E3648">
        <w:rPr>
          <w:rFonts w:asciiTheme="majorHAnsi" w:hAnsiTheme="majorHAnsi"/>
        </w:rPr>
        <w:t xml:space="preserve"> proposal to offer more flexibility of accreditation reviews, </w:t>
      </w:r>
      <w:r w:rsidR="00850D42" w:rsidRPr="002E3648">
        <w:rPr>
          <w:rFonts w:asciiTheme="majorHAnsi" w:hAnsiTheme="majorHAnsi"/>
        </w:rPr>
        <w:t xml:space="preserve">we </w:t>
      </w:r>
      <w:r w:rsidR="005B665F" w:rsidRPr="002E3648">
        <w:rPr>
          <w:rFonts w:asciiTheme="majorHAnsi" w:hAnsiTheme="majorHAnsi"/>
        </w:rPr>
        <w:t>are wary of proposals</w:t>
      </w:r>
      <w:r w:rsidR="00B9164B" w:rsidRPr="002E3648">
        <w:rPr>
          <w:rFonts w:asciiTheme="majorHAnsi" w:hAnsiTheme="majorHAnsi"/>
        </w:rPr>
        <w:t xml:space="preserve"> that</w:t>
      </w:r>
      <w:r w:rsidR="00537F90" w:rsidRPr="002E3648">
        <w:rPr>
          <w:rFonts w:asciiTheme="majorHAnsi" w:hAnsiTheme="majorHAnsi"/>
        </w:rPr>
        <w:t xml:space="preserve"> c</w:t>
      </w:r>
      <w:r w:rsidR="0067503B" w:rsidRPr="002E3648">
        <w:rPr>
          <w:rFonts w:asciiTheme="majorHAnsi" w:hAnsiTheme="majorHAnsi"/>
        </w:rPr>
        <w:t xml:space="preserve">ould lead to </w:t>
      </w:r>
      <w:r w:rsidR="0067503B" w:rsidRPr="002E3648">
        <w:rPr>
          <w:rFonts w:asciiTheme="majorHAnsi" w:hAnsiTheme="majorHAnsi" w:cs="Arial"/>
        </w:rPr>
        <w:t xml:space="preserve">unintended consequence of establishing a federal regulatory foothold for what would constitute </w:t>
      </w:r>
      <w:r w:rsidR="00850D42" w:rsidRPr="002E3648">
        <w:rPr>
          <w:rFonts w:asciiTheme="majorHAnsi" w:hAnsiTheme="majorHAnsi" w:cs="Arial"/>
        </w:rPr>
        <w:t xml:space="preserve">different gradations in accreditation.  </w:t>
      </w:r>
      <w:r w:rsidR="008910E3" w:rsidRPr="002E3648">
        <w:rPr>
          <w:rFonts w:asciiTheme="majorHAnsi" w:hAnsiTheme="majorHAnsi" w:cs="Arial"/>
        </w:rPr>
        <w:t xml:space="preserve">Given recent efforts by the U.S. Department of Education to create a federal college ratings regime, such concern is well founded. </w:t>
      </w:r>
    </w:p>
    <w:p w:rsidR="00821EDD" w:rsidRPr="002E3648" w:rsidRDefault="00821EDD">
      <w:pPr>
        <w:rPr>
          <w:rFonts w:asciiTheme="majorHAnsi" w:hAnsiTheme="majorHAnsi"/>
        </w:rPr>
      </w:pPr>
    </w:p>
    <w:p w:rsidR="002E3648" w:rsidRPr="002E3648" w:rsidRDefault="00BE01F1" w:rsidP="00BF30DF">
      <w:pPr>
        <w:widowControl w:val="0"/>
        <w:autoSpaceDE w:val="0"/>
        <w:autoSpaceDN w:val="0"/>
        <w:adjustRightInd w:val="0"/>
        <w:spacing w:after="240"/>
        <w:rPr>
          <w:rFonts w:asciiTheme="majorHAnsi" w:hAnsiTheme="majorHAnsi"/>
        </w:rPr>
      </w:pPr>
      <w:r w:rsidRPr="002E3648">
        <w:rPr>
          <w:rFonts w:asciiTheme="majorHAnsi" w:hAnsiTheme="majorHAnsi"/>
        </w:rPr>
        <w:t xml:space="preserve">This </w:t>
      </w:r>
      <w:r w:rsidR="00A02D46" w:rsidRPr="002E3648">
        <w:rPr>
          <w:rFonts w:asciiTheme="majorHAnsi" w:hAnsiTheme="majorHAnsi"/>
        </w:rPr>
        <w:t>proposal</w:t>
      </w:r>
      <w:r w:rsidR="00850D42" w:rsidRPr="002E3648">
        <w:rPr>
          <w:rFonts w:asciiTheme="majorHAnsi" w:hAnsiTheme="majorHAnsi"/>
        </w:rPr>
        <w:t xml:space="preserve"> also </w:t>
      </w:r>
      <w:r w:rsidR="00A02D46" w:rsidRPr="002E3648">
        <w:rPr>
          <w:rFonts w:asciiTheme="majorHAnsi" w:hAnsiTheme="majorHAnsi"/>
        </w:rPr>
        <w:t xml:space="preserve">highlights the benefit of stakeholder </w:t>
      </w:r>
      <w:r w:rsidR="00A90BE0" w:rsidRPr="002E3648">
        <w:rPr>
          <w:rFonts w:asciiTheme="majorHAnsi" w:hAnsiTheme="majorHAnsi"/>
        </w:rPr>
        <w:t>confidence</w:t>
      </w:r>
      <w:r w:rsidR="00A02D46" w:rsidRPr="002E3648">
        <w:rPr>
          <w:rFonts w:asciiTheme="majorHAnsi" w:hAnsiTheme="majorHAnsi"/>
        </w:rPr>
        <w:t xml:space="preserve"> in how </w:t>
      </w:r>
      <w:r w:rsidR="00A90BE0" w:rsidRPr="002E3648">
        <w:rPr>
          <w:rFonts w:asciiTheme="majorHAnsi" w:hAnsiTheme="majorHAnsi"/>
        </w:rPr>
        <w:t>accreditors arrive at quality determination through increased transparency.  We are pleased this recommendation reflects the benefit of “voluntary action</w:t>
      </w:r>
      <w:r w:rsidR="00017830" w:rsidRPr="002E3648">
        <w:rPr>
          <w:rFonts w:asciiTheme="majorHAnsi" w:hAnsiTheme="majorHAnsi"/>
        </w:rPr>
        <w:t xml:space="preserve">s” as opposed to new federal </w:t>
      </w:r>
      <w:r w:rsidR="009E04CE" w:rsidRPr="002E3648">
        <w:rPr>
          <w:rFonts w:asciiTheme="majorHAnsi" w:hAnsiTheme="majorHAnsi"/>
        </w:rPr>
        <w:t>prescriptiveness</w:t>
      </w:r>
      <w:r w:rsidR="004E2C29" w:rsidRPr="002E3648">
        <w:rPr>
          <w:rFonts w:asciiTheme="majorHAnsi" w:hAnsiTheme="majorHAnsi"/>
        </w:rPr>
        <w:t xml:space="preserve"> in this area</w:t>
      </w:r>
      <w:r w:rsidR="00766A0E" w:rsidRPr="002E3648">
        <w:rPr>
          <w:rFonts w:asciiTheme="majorHAnsi" w:hAnsiTheme="majorHAnsi"/>
        </w:rPr>
        <w:t>,</w:t>
      </w:r>
      <w:r w:rsidR="00B9164B" w:rsidRPr="002E3648">
        <w:rPr>
          <w:rFonts w:asciiTheme="majorHAnsi" w:hAnsiTheme="majorHAnsi"/>
        </w:rPr>
        <w:t xml:space="preserve"> </w:t>
      </w:r>
      <w:r w:rsidR="001E3C2B" w:rsidRPr="002E3648">
        <w:rPr>
          <w:rFonts w:asciiTheme="majorHAnsi" w:hAnsiTheme="majorHAnsi"/>
        </w:rPr>
        <w:t xml:space="preserve">and note that several </w:t>
      </w:r>
      <w:r w:rsidR="00F57831" w:rsidRPr="002E3648">
        <w:rPr>
          <w:rFonts w:asciiTheme="majorHAnsi" w:hAnsiTheme="majorHAnsi"/>
        </w:rPr>
        <w:t xml:space="preserve">regional </w:t>
      </w:r>
      <w:r w:rsidR="00F6708A" w:rsidRPr="002E3648">
        <w:rPr>
          <w:rFonts w:asciiTheme="majorHAnsi" w:hAnsiTheme="majorHAnsi"/>
        </w:rPr>
        <w:t>accreditors</w:t>
      </w:r>
      <w:r w:rsidR="00F57831" w:rsidRPr="002E3648">
        <w:rPr>
          <w:rFonts w:asciiTheme="majorHAnsi" w:hAnsiTheme="majorHAnsi"/>
        </w:rPr>
        <w:t xml:space="preserve"> are in the process of implementing </w:t>
      </w:r>
      <w:r w:rsidR="004E2C29" w:rsidRPr="002E3648">
        <w:rPr>
          <w:rFonts w:asciiTheme="majorHAnsi" w:hAnsiTheme="majorHAnsi"/>
        </w:rPr>
        <w:t>or re-examining disc</w:t>
      </w:r>
      <w:r w:rsidR="001B7E4E" w:rsidRPr="002E3648">
        <w:rPr>
          <w:rFonts w:asciiTheme="majorHAnsi" w:hAnsiTheme="majorHAnsi"/>
        </w:rPr>
        <w:t>losure policies and procedures to determine how best t</w:t>
      </w:r>
      <w:r w:rsidR="007D5D4D" w:rsidRPr="002E3648">
        <w:rPr>
          <w:rFonts w:asciiTheme="majorHAnsi" w:hAnsiTheme="majorHAnsi"/>
        </w:rPr>
        <w:t xml:space="preserve">o provide meaningful information to students, parents and other stakeholders.  </w:t>
      </w:r>
    </w:p>
    <w:p w:rsidR="0048779E" w:rsidRPr="002E3648" w:rsidRDefault="0048779E">
      <w:pPr>
        <w:rPr>
          <w:rFonts w:asciiTheme="majorHAnsi" w:hAnsiTheme="majorHAnsi"/>
          <w:i/>
        </w:rPr>
      </w:pPr>
      <w:r w:rsidRPr="002E3648">
        <w:rPr>
          <w:rFonts w:asciiTheme="majorHAnsi" w:hAnsiTheme="majorHAnsi"/>
          <w:i/>
        </w:rPr>
        <w:t>Proposal #4: Delink Accreditation from Institutional Eligibility for Federal Student Aid</w:t>
      </w:r>
    </w:p>
    <w:p w:rsidR="006626FB" w:rsidRPr="002E3648" w:rsidRDefault="006626FB">
      <w:pPr>
        <w:rPr>
          <w:rFonts w:asciiTheme="majorHAnsi" w:hAnsiTheme="majorHAnsi"/>
          <w:i/>
        </w:rPr>
      </w:pPr>
    </w:p>
    <w:p w:rsidR="006626FB" w:rsidRPr="002E3648" w:rsidRDefault="006626FB">
      <w:pPr>
        <w:rPr>
          <w:rFonts w:asciiTheme="majorHAnsi" w:hAnsiTheme="majorHAnsi"/>
        </w:rPr>
      </w:pPr>
      <w:r w:rsidRPr="002E3648">
        <w:rPr>
          <w:rFonts w:asciiTheme="majorHAnsi" w:hAnsiTheme="majorHAnsi"/>
        </w:rPr>
        <w:t>C-RAC has grave concerns about the idea of delinking Federal Student Aid eligibili</w:t>
      </w:r>
      <w:r w:rsidR="00814527" w:rsidRPr="002E3648">
        <w:rPr>
          <w:rFonts w:asciiTheme="majorHAnsi" w:hAnsiTheme="majorHAnsi"/>
        </w:rPr>
        <w:t xml:space="preserve">ty and accreditation. Namely, we believe </w:t>
      </w:r>
      <w:r w:rsidR="006B2064" w:rsidRPr="002E3648">
        <w:rPr>
          <w:rFonts w:asciiTheme="majorHAnsi" w:hAnsiTheme="majorHAnsi"/>
        </w:rPr>
        <w:t xml:space="preserve">that </w:t>
      </w:r>
      <w:r w:rsidRPr="002E3648">
        <w:rPr>
          <w:rFonts w:asciiTheme="majorHAnsi" w:hAnsiTheme="majorHAnsi"/>
        </w:rPr>
        <w:t xml:space="preserve">delinking student aid and accreditation, </w:t>
      </w:r>
      <w:r w:rsidR="00D54778" w:rsidRPr="002E3648">
        <w:rPr>
          <w:rFonts w:asciiTheme="majorHAnsi" w:hAnsiTheme="majorHAnsi"/>
        </w:rPr>
        <w:t xml:space="preserve">would </w:t>
      </w:r>
      <w:r w:rsidR="00417BD5" w:rsidRPr="002E3648">
        <w:rPr>
          <w:rFonts w:asciiTheme="majorHAnsi" w:hAnsiTheme="majorHAnsi"/>
        </w:rPr>
        <w:t xml:space="preserve">inevitably </w:t>
      </w:r>
      <w:r w:rsidR="00D54778" w:rsidRPr="002E3648">
        <w:rPr>
          <w:rFonts w:asciiTheme="majorHAnsi" w:hAnsiTheme="majorHAnsi"/>
        </w:rPr>
        <w:t>l</w:t>
      </w:r>
      <w:r w:rsidR="006B2064" w:rsidRPr="002E3648">
        <w:rPr>
          <w:rFonts w:asciiTheme="majorHAnsi" w:hAnsiTheme="majorHAnsi"/>
        </w:rPr>
        <w:t>e</w:t>
      </w:r>
      <w:r w:rsidR="00D54778" w:rsidRPr="002E3648">
        <w:rPr>
          <w:rFonts w:asciiTheme="majorHAnsi" w:hAnsiTheme="majorHAnsi"/>
        </w:rPr>
        <w:t>ad to the federal government ta</w:t>
      </w:r>
      <w:r w:rsidR="006B2064" w:rsidRPr="002E3648">
        <w:rPr>
          <w:rFonts w:asciiTheme="majorHAnsi" w:hAnsiTheme="majorHAnsi"/>
        </w:rPr>
        <w:t xml:space="preserve">king over the </w:t>
      </w:r>
      <w:r w:rsidR="003C209E" w:rsidRPr="002E3648">
        <w:rPr>
          <w:rFonts w:asciiTheme="majorHAnsi" w:hAnsiTheme="majorHAnsi"/>
        </w:rPr>
        <w:t xml:space="preserve">costs and </w:t>
      </w:r>
      <w:r w:rsidRPr="002E3648">
        <w:rPr>
          <w:rFonts w:asciiTheme="majorHAnsi" w:hAnsiTheme="majorHAnsi"/>
        </w:rPr>
        <w:t xml:space="preserve">responsibilities to </w:t>
      </w:r>
      <w:r w:rsidR="006B2064" w:rsidRPr="002E3648">
        <w:rPr>
          <w:rFonts w:asciiTheme="majorHAnsi" w:hAnsiTheme="majorHAnsi"/>
        </w:rPr>
        <w:t xml:space="preserve">define and monitor institutional </w:t>
      </w:r>
      <w:r w:rsidRPr="002E3648">
        <w:rPr>
          <w:rFonts w:asciiTheme="majorHAnsi" w:hAnsiTheme="majorHAnsi"/>
        </w:rPr>
        <w:t>quality</w:t>
      </w:r>
      <w:r w:rsidR="006B2064" w:rsidRPr="002E3648">
        <w:rPr>
          <w:rFonts w:asciiTheme="majorHAnsi" w:hAnsiTheme="majorHAnsi"/>
        </w:rPr>
        <w:t xml:space="preserve">, </w:t>
      </w:r>
      <w:r w:rsidR="00D54778" w:rsidRPr="002E3648">
        <w:rPr>
          <w:rFonts w:asciiTheme="majorHAnsi" w:hAnsiTheme="majorHAnsi"/>
        </w:rPr>
        <w:t>thus federalizing</w:t>
      </w:r>
      <w:r w:rsidRPr="002E3648">
        <w:rPr>
          <w:rFonts w:asciiTheme="majorHAnsi" w:hAnsiTheme="majorHAnsi"/>
        </w:rPr>
        <w:t xml:space="preserve"> the current role of </w:t>
      </w:r>
      <w:r w:rsidRPr="002E3648">
        <w:rPr>
          <w:rFonts w:asciiTheme="majorHAnsi" w:hAnsiTheme="majorHAnsi"/>
        </w:rPr>
        <w:lastRenderedPageBreak/>
        <w:t>accreditation.</w:t>
      </w:r>
      <w:r w:rsidR="003C209E" w:rsidRPr="002E3648">
        <w:rPr>
          <w:rFonts w:asciiTheme="majorHAnsi" w:hAnsiTheme="majorHAnsi"/>
        </w:rPr>
        <w:t xml:space="preserve">  We find it ironic that many of the same proponents of this action are also among the biggest critics of Federal involvement in education in general.  Th</w:t>
      </w:r>
      <w:r w:rsidR="00417BD5" w:rsidRPr="002E3648">
        <w:rPr>
          <w:rFonts w:asciiTheme="majorHAnsi" w:hAnsiTheme="majorHAnsi"/>
        </w:rPr>
        <w:t>e</w:t>
      </w:r>
      <w:r w:rsidR="003C209E" w:rsidRPr="002E3648">
        <w:rPr>
          <w:rFonts w:asciiTheme="majorHAnsi" w:hAnsiTheme="majorHAnsi"/>
        </w:rPr>
        <w:t xml:space="preserve">se critics </w:t>
      </w:r>
      <w:r w:rsidR="00417BD5" w:rsidRPr="002E3648">
        <w:rPr>
          <w:rFonts w:asciiTheme="majorHAnsi" w:hAnsiTheme="majorHAnsi"/>
        </w:rPr>
        <w:t xml:space="preserve">seem to want to have it both ways: opposing both the current system and more Federal involvement, while failing to suggest a viable alternative. </w:t>
      </w:r>
    </w:p>
    <w:p w:rsidR="000B057B" w:rsidRPr="002E3648" w:rsidRDefault="000B057B">
      <w:pPr>
        <w:rPr>
          <w:rFonts w:asciiTheme="majorHAnsi" w:hAnsiTheme="majorHAnsi"/>
        </w:rPr>
      </w:pPr>
    </w:p>
    <w:p w:rsidR="000B057B" w:rsidRPr="002E3648" w:rsidRDefault="000B057B">
      <w:pPr>
        <w:rPr>
          <w:rFonts w:asciiTheme="majorHAnsi" w:hAnsiTheme="majorHAnsi"/>
        </w:rPr>
      </w:pPr>
      <w:r w:rsidRPr="002E3648">
        <w:rPr>
          <w:rFonts w:asciiTheme="majorHAnsi" w:hAnsiTheme="majorHAnsi"/>
        </w:rPr>
        <w:t xml:space="preserve">Regional accreditation has a successful track record of focusing institutional attention on the overall quality of degrees and credentials. With decades of experience, we are convinced that only a rigorous system of peer review can provide assurance of educational quality across our nation’s </w:t>
      </w:r>
      <w:r w:rsidR="00D54778" w:rsidRPr="002E3648">
        <w:rPr>
          <w:rFonts w:asciiTheme="majorHAnsi" w:hAnsiTheme="majorHAnsi"/>
        </w:rPr>
        <w:t xml:space="preserve">diverse </w:t>
      </w:r>
      <w:r w:rsidRPr="002E3648">
        <w:rPr>
          <w:rFonts w:asciiTheme="majorHAnsi" w:hAnsiTheme="majorHAnsi"/>
        </w:rPr>
        <w:t>institutions.  Because of the federal interest in a well-educated citizenry, we believe that any discussion of breaking the link with accreditation should come with consideration of a well-developed alternative to ensure educational quality in institutions participating in federal funding for students’ education.</w:t>
      </w:r>
    </w:p>
    <w:p w:rsidR="0048779E" w:rsidRPr="002E3648" w:rsidRDefault="0048779E">
      <w:pPr>
        <w:rPr>
          <w:rFonts w:asciiTheme="majorHAnsi" w:hAnsiTheme="majorHAnsi"/>
        </w:rPr>
      </w:pPr>
    </w:p>
    <w:p w:rsidR="0048779E" w:rsidRPr="002E3648" w:rsidRDefault="0048779E" w:rsidP="0048779E">
      <w:pPr>
        <w:rPr>
          <w:rFonts w:asciiTheme="majorHAnsi" w:hAnsiTheme="majorHAnsi"/>
          <w:b/>
        </w:rPr>
      </w:pPr>
      <w:r w:rsidRPr="002E3648">
        <w:rPr>
          <w:rFonts w:asciiTheme="majorHAnsi" w:hAnsiTheme="majorHAnsi"/>
          <w:b/>
        </w:rPr>
        <w:t>Redesign Accreditation to Promote Competition and Innovation</w:t>
      </w:r>
    </w:p>
    <w:p w:rsidR="0048779E" w:rsidRPr="002E3648" w:rsidRDefault="0048779E" w:rsidP="0048779E">
      <w:pPr>
        <w:rPr>
          <w:rFonts w:asciiTheme="majorHAnsi" w:hAnsiTheme="majorHAnsi"/>
        </w:rPr>
      </w:pPr>
    </w:p>
    <w:p w:rsidR="0048779E" w:rsidRPr="002E3648" w:rsidRDefault="0048779E" w:rsidP="0048779E">
      <w:pPr>
        <w:rPr>
          <w:rFonts w:asciiTheme="majorHAnsi" w:hAnsiTheme="majorHAnsi"/>
          <w:i/>
        </w:rPr>
      </w:pPr>
      <w:r w:rsidRPr="002E3648">
        <w:rPr>
          <w:rFonts w:asciiTheme="majorHAnsi" w:hAnsiTheme="majorHAnsi"/>
          <w:i/>
        </w:rPr>
        <w:t>Proposal #1: Establish New Pathways to Accreditation and/or Title IV Eligibility for Non-College Providers of Higher Education</w:t>
      </w:r>
    </w:p>
    <w:p w:rsidR="00165761" w:rsidRPr="002E3648" w:rsidRDefault="00165761" w:rsidP="0048779E">
      <w:pPr>
        <w:rPr>
          <w:rFonts w:asciiTheme="majorHAnsi" w:hAnsiTheme="majorHAnsi"/>
          <w:i/>
        </w:rPr>
      </w:pPr>
    </w:p>
    <w:p w:rsidR="00BF349F" w:rsidRPr="002E3648" w:rsidRDefault="00BF349F" w:rsidP="00F54896">
      <w:pPr>
        <w:widowControl w:val="0"/>
        <w:autoSpaceDE w:val="0"/>
        <w:autoSpaceDN w:val="0"/>
        <w:adjustRightInd w:val="0"/>
        <w:spacing w:after="240"/>
        <w:rPr>
          <w:rFonts w:asciiTheme="majorHAnsi" w:hAnsiTheme="majorHAnsi"/>
        </w:rPr>
      </w:pPr>
      <w:r w:rsidRPr="002E3648">
        <w:rPr>
          <w:rFonts w:asciiTheme="majorHAnsi" w:hAnsiTheme="majorHAnsi" w:cs="Times New Roman"/>
        </w:rPr>
        <w:t>The white paper suggests</w:t>
      </w:r>
      <w:r w:rsidR="00A4507C" w:rsidRPr="002E3648">
        <w:rPr>
          <w:rFonts w:asciiTheme="majorHAnsi" w:hAnsiTheme="majorHAnsi" w:cs="Times New Roman"/>
        </w:rPr>
        <w:t xml:space="preserve"> there is little </w:t>
      </w:r>
      <w:r w:rsidR="00CE09DD" w:rsidRPr="002E3648">
        <w:rPr>
          <w:rFonts w:asciiTheme="majorHAnsi" w:hAnsiTheme="majorHAnsi" w:cs="Times New Roman"/>
        </w:rPr>
        <w:t xml:space="preserve">competition in </w:t>
      </w:r>
      <w:r w:rsidR="00A4507C" w:rsidRPr="002E3648">
        <w:rPr>
          <w:rFonts w:asciiTheme="majorHAnsi" w:hAnsiTheme="majorHAnsi" w:cs="Times New Roman"/>
        </w:rPr>
        <w:t>hi</w:t>
      </w:r>
      <w:r w:rsidR="00CE09DD" w:rsidRPr="002E3648">
        <w:rPr>
          <w:rFonts w:asciiTheme="majorHAnsi" w:hAnsiTheme="majorHAnsi" w:cs="Times New Roman"/>
        </w:rPr>
        <w:t xml:space="preserve">gher education </w:t>
      </w:r>
      <w:r w:rsidR="00A4507C" w:rsidRPr="002E3648">
        <w:rPr>
          <w:rFonts w:asciiTheme="majorHAnsi" w:hAnsiTheme="majorHAnsi" w:cs="Times New Roman"/>
        </w:rPr>
        <w:t xml:space="preserve">as a result of </w:t>
      </w:r>
      <w:r w:rsidR="00CE09DD" w:rsidRPr="002E3648">
        <w:rPr>
          <w:rFonts w:asciiTheme="majorHAnsi" w:hAnsiTheme="majorHAnsi" w:cs="Times New Roman"/>
        </w:rPr>
        <w:t>“regulatory and accrediting agency</w:t>
      </w:r>
      <w:r w:rsidR="00A4507C" w:rsidRPr="002E3648">
        <w:rPr>
          <w:rFonts w:asciiTheme="majorHAnsi" w:hAnsiTheme="majorHAnsi" w:cs="Times New Roman"/>
        </w:rPr>
        <w:t xml:space="preserve"> barrier</w:t>
      </w:r>
      <w:r w:rsidR="00CE09DD" w:rsidRPr="002E3648">
        <w:rPr>
          <w:rFonts w:asciiTheme="majorHAnsi" w:hAnsiTheme="majorHAnsi" w:cs="Times New Roman"/>
        </w:rPr>
        <w:t>s</w:t>
      </w:r>
      <w:r w:rsidR="00A4507C" w:rsidRPr="002E3648">
        <w:rPr>
          <w:rFonts w:asciiTheme="majorHAnsi" w:hAnsiTheme="majorHAnsi" w:cs="Times New Roman"/>
        </w:rPr>
        <w:t xml:space="preserve"> to entry.</w:t>
      </w:r>
      <w:r w:rsidR="00CE09DD" w:rsidRPr="002E3648">
        <w:rPr>
          <w:rFonts w:asciiTheme="majorHAnsi" w:hAnsiTheme="majorHAnsi" w:cs="Times New Roman"/>
        </w:rPr>
        <w:t xml:space="preserve">”  </w:t>
      </w:r>
      <w:r w:rsidR="00295947" w:rsidRPr="002E3648">
        <w:rPr>
          <w:rFonts w:asciiTheme="majorHAnsi" w:hAnsiTheme="majorHAnsi" w:cs="Times New Roman"/>
        </w:rPr>
        <w:t>We agree</w:t>
      </w:r>
      <w:r w:rsidR="001B43BB" w:rsidRPr="002E3648">
        <w:rPr>
          <w:rFonts w:asciiTheme="majorHAnsi" w:hAnsiTheme="majorHAnsi" w:cs="Times New Roman"/>
        </w:rPr>
        <w:t xml:space="preserve"> th</w:t>
      </w:r>
      <w:r w:rsidR="00441C39" w:rsidRPr="002E3648">
        <w:rPr>
          <w:rFonts w:asciiTheme="majorHAnsi" w:hAnsiTheme="majorHAnsi" w:cs="Times New Roman"/>
        </w:rPr>
        <w:t>ere is room for more entrants of</w:t>
      </w:r>
      <w:r w:rsidR="001B43BB" w:rsidRPr="002E3648">
        <w:rPr>
          <w:rFonts w:asciiTheme="majorHAnsi" w:hAnsiTheme="majorHAnsi" w:cs="Times New Roman"/>
        </w:rPr>
        <w:t xml:space="preserve"> new forms of higher education providers and </w:t>
      </w:r>
      <w:r w:rsidR="000762AF" w:rsidRPr="002E3648">
        <w:rPr>
          <w:rFonts w:asciiTheme="majorHAnsi" w:hAnsiTheme="majorHAnsi" w:cs="Times New Roman"/>
        </w:rPr>
        <w:t>delivery models.  However, the paper is</w:t>
      </w:r>
      <w:r w:rsidR="006B3283" w:rsidRPr="002E3648">
        <w:rPr>
          <w:rFonts w:asciiTheme="majorHAnsi" w:hAnsiTheme="majorHAnsi" w:cs="Times New Roman"/>
        </w:rPr>
        <w:t xml:space="preserve"> i</w:t>
      </w:r>
      <w:r w:rsidR="000762AF" w:rsidRPr="002E3648">
        <w:rPr>
          <w:rFonts w:asciiTheme="majorHAnsi" w:hAnsiTheme="majorHAnsi" w:cs="Times New Roman"/>
        </w:rPr>
        <w:t>ncorrect to asser</w:t>
      </w:r>
      <w:r w:rsidR="001618AC" w:rsidRPr="002E3648">
        <w:rPr>
          <w:rFonts w:asciiTheme="majorHAnsi" w:hAnsiTheme="majorHAnsi" w:cs="Times New Roman"/>
        </w:rPr>
        <w:t xml:space="preserve">t </w:t>
      </w:r>
      <w:r w:rsidR="000762AF" w:rsidRPr="002E3648">
        <w:rPr>
          <w:rFonts w:asciiTheme="majorHAnsi" w:hAnsiTheme="majorHAnsi" w:cs="Times New Roman"/>
        </w:rPr>
        <w:t>there has been little competition and innovation under t</w:t>
      </w:r>
      <w:r w:rsidR="001618AC" w:rsidRPr="002E3648">
        <w:rPr>
          <w:rFonts w:asciiTheme="majorHAnsi" w:hAnsiTheme="majorHAnsi" w:cs="Times New Roman"/>
        </w:rPr>
        <w:t>he current accreditation str</w:t>
      </w:r>
      <w:r w:rsidR="000762AF" w:rsidRPr="002E3648">
        <w:rPr>
          <w:rFonts w:asciiTheme="majorHAnsi" w:hAnsiTheme="majorHAnsi" w:cs="Times New Roman"/>
        </w:rPr>
        <w:t>uc</w:t>
      </w:r>
      <w:r w:rsidR="004B2C06" w:rsidRPr="002E3648">
        <w:rPr>
          <w:rFonts w:asciiTheme="majorHAnsi" w:hAnsiTheme="majorHAnsi" w:cs="Times New Roman"/>
        </w:rPr>
        <w:t>ture.</w:t>
      </w:r>
      <w:r w:rsidR="00295947" w:rsidRPr="002E3648">
        <w:rPr>
          <w:rFonts w:asciiTheme="majorHAnsi" w:hAnsiTheme="majorHAnsi" w:cs="Times New Roman"/>
        </w:rPr>
        <w:t xml:space="preserve"> In fact, </w:t>
      </w:r>
      <w:r w:rsidR="004B2C06" w:rsidRPr="002E3648">
        <w:rPr>
          <w:rFonts w:asciiTheme="majorHAnsi" w:hAnsiTheme="majorHAnsi" w:cs="Times New Roman"/>
        </w:rPr>
        <w:t>between 2000 and 2012, the number of private, for-profit 2</w:t>
      </w:r>
      <w:r w:rsidR="00F54896" w:rsidRPr="002E3648">
        <w:rPr>
          <w:rFonts w:asciiTheme="majorHAnsi" w:hAnsiTheme="majorHAnsi" w:cs="Times New Roman"/>
        </w:rPr>
        <w:t>-year institutions of hig</w:t>
      </w:r>
      <w:r w:rsidR="00774451" w:rsidRPr="002E3648">
        <w:rPr>
          <w:rFonts w:asciiTheme="majorHAnsi" w:hAnsiTheme="majorHAnsi" w:cs="Times New Roman"/>
        </w:rPr>
        <w:t>her education grew by nearly 50 percent,</w:t>
      </w:r>
      <w:r w:rsidR="00F54896" w:rsidRPr="002E3648">
        <w:rPr>
          <w:rFonts w:asciiTheme="majorHAnsi" w:hAnsiTheme="majorHAnsi" w:cs="Times New Roman"/>
        </w:rPr>
        <w:t xml:space="preserve"> from 480 institutions to 658.  This growth was even greater</w:t>
      </w:r>
      <w:r w:rsidRPr="002E3648">
        <w:rPr>
          <w:rFonts w:asciiTheme="majorHAnsi" w:hAnsiTheme="majorHAnsi"/>
        </w:rPr>
        <w:t xml:space="preserve"> with respect to for-profit 4-year institutions, which more than tripled</w:t>
      </w:r>
      <w:r w:rsidR="00295947" w:rsidRPr="002E3648">
        <w:rPr>
          <w:rFonts w:asciiTheme="majorHAnsi" w:hAnsiTheme="majorHAnsi"/>
        </w:rPr>
        <w:t xml:space="preserve"> in number</w:t>
      </w:r>
      <w:r w:rsidR="00774451" w:rsidRPr="002E3648">
        <w:rPr>
          <w:rFonts w:asciiTheme="majorHAnsi" w:hAnsiTheme="majorHAnsi"/>
        </w:rPr>
        <w:t>,</w:t>
      </w:r>
      <w:r w:rsidR="00295947" w:rsidRPr="002E3648">
        <w:rPr>
          <w:rFonts w:asciiTheme="majorHAnsi" w:hAnsiTheme="majorHAnsi"/>
        </w:rPr>
        <w:t xml:space="preserve"> from 207 </w:t>
      </w:r>
      <w:r w:rsidRPr="002E3648">
        <w:rPr>
          <w:rFonts w:asciiTheme="majorHAnsi" w:hAnsiTheme="majorHAnsi"/>
        </w:rPr>
        <w:t>to 710</w:t>
      </w:r>
      <w:r w:rsidR="00295947" w:rsidRPr="002E3648">
        <w:rPr>
          <w:rFonts w:asciiTheme="majorHAnsi" w:hAnsiTheme="majorHAnsi"/>
        </w:rPr>
        <w:t xml:space="preserve"> institutions</w:t>
      </w:r>
      <w:r w:rsidR="00774451" w:rsidRPr="002E3648">
        <w:rPr>
          <w:rFonts w:asciiTheme="majorHAnsi" w:hAnsiTheme="majorHAnsi"/>
        </w:rPr>
        <w:t>,</w:t>
      </w:r>
      <w:r w:rsidRPr="002E3648">
        <w:rPr>
          <w:rFonts w:asciiTheme="majorHAnsi" w:hAnsiTheme="majorHAnsi"/>
        </w:rPr>
        <w:t xml:space="preserve"> during this same period.</w:t>
      </w:r>
    </w:p>
    <w:p w:rsidR="00267046" w:rsidRPr="002E3648" w:rsidRDefault="00757A45" w:rsidP="00F54896">
      <w:pPr>
        <w:widowControl w:val="0"/>
        <w:autoSpaceDE w:val="0"/>
        <w:autoSpaceDN w:val="0"/>
        <w:adjustRightInd w:val="0"/>
        <w:spacing w:after="240"/>
        <w:rPr>
          <w:rFonts w:asciiTheme="majorHAnsi" w:hAnsiTheme="majorHAnsi"/>
        </w:rPr>
      </w:pPr>
      <w:r w:rsidRPr="002E3648">
        <w:rPr>
          <w:rFonts w:asciiTheme="majorHAnsi" w:hAnsiTheme="majorHAnsi"/>
        </w:rPr>
        <w:t>The number of postsecondary students participating in n</w:t>
      </w:r>
      <w:r w:rsidR="00441C39" w:rsidRPr="002E3648">
        <w:rPr>
          <w:rFonts w:asciiTheme="majorHAnsi" w:hAnsiTheme="majorHAnsi"/>
        </w:rPr>
        <w:t xml:space="preserve">ew delivery models, most notably </w:t>
      </w:r>
      <w:r w:rsidR="00EF0FD0" w:rsidRPr="002E3648">
        <w:rPr>
          <w:rFonts w:asciiTheme="majorHAnsi" w:hAnsiTheme="majorHAnsi"/>
        </w:rPr>
        <w:t>through</w:t>
      </w:r>
      <w:r w:rsidRPr="002E3648">
        <w:rPr>
          <w:rFonts w:asciiTheme="majorHAnsi" w:hAnsiTheme="majorHAnsi"/>
        </w:rPr>
        <w:t xml:space="preserve"> distance education, has</w:t>
      </w:r>
      <w:r w:rsidR="00441C39" w:rsidRPr="002E3648">
        <w:rPr>
          <w:rFonts w:asciiTheme="majorHAnsi" w:hAnsiTheme="majorHAnsi"/>
        </w:rPr>
        <w:t xml:space="preserve"> also </w:t>
      </w:r>
      <w:r w:rsidRPr="002E3648">
        <w:rPr>
          <w:rFonts w:asciiTheme="majorHAnsi" w:hAnsiTheme="majorHAnsi"/>
        </w:rPr>
        <w:t xml:space="preserve">expanded </w:t>
      </w:r>
      <w:r w:rsidR="00EF0FD0" w:rsidRPr="002E3648">
        <w:rPr>
          <w:rFonts w:asciiTheme="majorHAnsi" w:hAnsiTheme="majorHAnsi"/>
        </w:rPr>
        <w:t>significantly</w:t>
      </w:r>
      <w:r w:rsidR="00774451" w:rsidRPr="002E3648">
        <w:rPr>
          <w:rFonts w:asciiTheme="majorHAnsi" w:hAnsiTheme="majorHAnsi"/>
        </w:rPr>
        <w:t>.  In 2000, just 8 percent</w:t>
      </w:r>
      <w:r w:rsidR="00240D64" w:rsidRPr="002E3648">
        <w:rPr>
          <w:rFonts w:asciiTheme="majorHAnsi" w:hAnsiTheme="majorHAnsi"/>
        </w:rPr>
        <w:t xml:space="preserve"> of students were enrolled in at least one distance education course.  By 2012, this increased to over a quarter of all students.</w:t>
      </w:r>
      <w:r w:rsidR="00CB6B50" w:rsidRPr="002E3648">
        <w:rPr>
          <w:rStyle w:val="FootnoteReference"/>
          <w:rFonts w:asciiTheme="majorHAnsi" w:hAnsiTheme="majorHAnsi"/>
        </w:rPr>
        <w:footnoteReference w:id="2"/>
      </w:r>
    </w:p>
    <w:p w:rsidR="00734BAE" w:rsidRPr="002E3648" w:rsidRDefault="00DB215D" w:rsidP="00F54896">
      <w:pPr>
        <w:widowControl w:val="0"/>
        <w:autoSpaceDE w:val="0"/>
        <w:autoSpaceDN w:val="0"/>
        <w:adjustRightInd w:val="0"/>
        <w:spacing w:after="240"/>
        <w:rPr>
          <w:rFonts w:asciiTheme="majorHAnsi" w:hAnsiTheme="majorHAnsi"/>
        </w:rPr>
      </w:pPr>
      <w:r w:rsidRPr="002E3648">
        <w:rPr>
          <w:rFonts w:asciiTheme="majorHAnsi" w:hAnsiTheme="majorHAnsi"/>
        </w:rPr>
        <w:t>The white pap</w:t>
      </w:r>
      <w:r w:rsidR="00BE41A7" w:rsidRPr="002E3648">
        <w:rPr>
          <w:rFonts w:asciiTheme="majorHAnsi" w:hAnsiTheme="majorHAnsi"/>
        </w:rPr>
        <w:t xml:space="preserve">er is correct in asserting </w:t>
      </w:r>
      <w:r w:rsidR="00671AD8" w:rsidRPr="002E3648">
        <w:rPr>
          <w:rFonts w:asciiTheme="majorHAnsi" w:hAnsiTheme="majorHAnsi"/>
        </w:rPr>
        <w:t xml:space="preserve">there are </w:t>
      </w:r>
      <w:r w:rsidR="003862D3" w:rsidRPr="002E3648">
        <w:rPr>
          <w:rFonts w:asciiTheme="majorHAnsi" w:hAnsiTheme="majorHAnsi"/>
        </w:rPr>
        <w:t>“non-college providers of higher education” that have the potential to offer students “low-cost and high quality</w:t>
      </w:r>
      <w:r w:rsidR="00026D9C" w:rsidRPr="002E3648">
        <w:rPr>
          <w:rFonts w:asciiTheme="majorHAnsi" w:hAnsiTheme="majorHAnsi"/>
        </w:rPr>
        <w:t xml:space="preserve"> learning options.”  The paper </w:t>
      </w:r>
      <w:r w:rsidR="00E86677" w:rsidRPr="002E3648">
        <w:rPr>
          <w:rFonts w:asciiTheme="majorHAnsi" w:hAnsiTheme="majorHAnsi"/>
        </w:rPr>
        <w:t xml:space="preserve">unfairly </w:t>
      </w:r>
      <w:r w:rsidR="00026D9C" w:rsidRPr="002E3648">
        <w:rPr>
          <w:rFonts w:asciiTheme="majorHAnsi" w:hAnsiTheme="majorHAnsi"/>
        </w:rPr>
        <w:t xml:space="preserve">suggests that such </w:t>
      </w:r>
      <w:r w:rsidR="00E86677" w:rsidRPr="002E3648">
        <w:rPr>
          <w:rFonts w:asciiTheme="majorHAnsi" w:hAnsiTheme="majorHAnsi"/>
        </w:rPr>
        <w:t>providers are being block</w:t>
      </w:r>
      <w:r w:rsidR="00557B3E" w:rsidRPr="002E3648">
        <w:rPr>
          <w:rFonts w:asciiTheme="majorHAnsi" w:hAnsiTheme="majorHAnsi"/>
        </w:rPr>
        <w:t>ed</w:t>
      </w:r>
      <w:r w:rsidR="00E86677" w:rsidRPr="002E3648">
        <w:rPr>
          <w:rFonts w:asciiTheme="majorHAnsi" w:hAnsiTheme="majorHAnsi"/>
        </w:rPr>
        <w:t xml:space="preserve"> </w:t>
      </w:r>
      <w:r w:rsidR="008D1681" w:rsidRPr="002E3648">
        <w:rPr>
          <w:rFonts w:asciiTheme="majorHAnsi" w:hAnsiTheme="majorHAnsi"/>
        </w:rPr>
        <w:t xml:space="preserve">from participation in federal student aid programs </w:t>
      </w:r>
      <w:r w:rsidR="00557B3E" w:rsidRPr="002E3648">
        <w:rPr>
          <w:rFonts w:asciiTheme="majorHAnsi" w:hAnsiTheme="majorHAnsi"/>
        </w:rPr>
        <w:t xml:space="preserve">due to </w:t>
      </w:r>
      <w:r w:rsidR="00734BAE" w:rsidRPr="002E3648">
        <w:rPr>
          <w:rFonts w:asciiTheme="majorHAnsi" w:hAnsiTheme="majorHAnsi"/>
        </w:rPr>
        <w:t>a bias on the part of accreditors.</w:t>
      </w:r>
      <w:r w:rsidR="00BE41A7" w:rsidRPr="002E3648">
        <w:rPr>
          <w:rFonts w:asciiTheme="majorHAnsi" w:hAnsiTheme="majorHAnsi"/>
        </w:rPr>
        <w:t xml:space="preserve">  The main barrier to entry is in fact the Higher Education </w:t>
      </w:r>
      <w:r w:rsidR="001A7B74" w:rsidRPr="002E3648">
        <w:rPr>
          <w:rFonts w:asciiTheme="majorHAnsi" w:hAnsiTheme="majorHAnsi"/>
        </w:rPr>
        <w:t xml:space="preserve">Act, </w:t>
      </w:r>
      <w:r w:rsidR="005F2B55" w:rsidRPr="002E3648">
        <w:rPr>
          <w:rFonts w:asciiTheme="majorHAnsi" w:hAnsiTheme="majorHAnsi"/>
        </w:rPr>
        <w:t xml:space="preserve">as written by Congress and enforced by the Department of Education, </w:t>
      </w:r>
      <w:r w:rsidR="00BE41A7" w:rsidRPr="002E3648">
        <w:rPr>
          <w:rFonts w:asciiTheme="majorHAnsi" w:hAnsiTheme="majorHAnsi"/>
        </w:rPr>
        <w:t xml:space="preserve">sets forth the criteria for </w:t>
      </w:r>
      <w:r w:rsidR="00204F53" w:rsidRPr="002E3648">
        <w:rPr>
          <w:rFonts w:asciiTheme="majorHAnsi" w:hAnsiTheme="majorHAnsi"/>
        </w:rPr>
        <w:t>institutional eligibility</w:t>
      </w:r>
      <w:r w:rsidR="005F2B55" w:rsidRPr="002E3648">
        <w:rPr>
          <w:rFonts w:asciiTheme="majorHAnsi" w:hAnsiTheme="majorHAnsi"/>
        </w:rPr>
        <w:t xml:space="preserve"> that prevents their participation</w:t>
      </w:r>
      <w:r w:rsidR="00204F53" w:rsidRPr="002E3648">
        <w:rPr>
          <w:rFonts w:asciiTheme="majorHAnsi" w:hAnsiTheme="majorHAnsi"/>
        </w:rPr>
        <w:t xml:space="preserve">.  </w:t>
      </w:r>
      <w:r w:rsidR="00930476" w:rsidRPr="002E3648">
        <w:rPr>
          <w:rFonts w:asciiTheme="majorHAnsi" w:hAnsiTheme="majorHAnsi"/>
        </w:rPr>
        <w:t xml:space="preserve">Groups highlighted in the white paper, such </w:t>
      </w:r>
      <w:r w:rsidR="00930476" w:rsidRPr="002E3648">
        <w:rPr>
          <w:rFonts w:asciiTheme="majorHAnsi" w:hAnsiTheme="majorHAnsi"/>
        </w:rPr>
        <w:lastRenderedPageBreak/>
        <w:t>as General Assembly and StraighterLine, do not offer programs</w:t>
      </w:r>
      <w:r w:rsidR="009E1E28" w:rsidRPr="002E3648">
        <w:rPr>
          <w:rFonts w:asciiTheme="majorHAnsi" w:hAnsiTheme="majorHAnsi"/>
        </w:rPr>
        <w:t xml:space="preserve"> of significant length to be eligible for student aid.   Massively Open Online Courses (M</w:t>
      </w:r>
      <w:r w:rsidR="001E0508" w:rsidRPr="002E3648">
        <w:rPr>
          <w:rFonts w:asciiTheme="majorHAnsi" w:hAnsiTheme="majorHAnsi"/>
        </w:rPr>
        <w:t xml:space="preserve">OOCs), also highlighted, by definition offer free on-line courses.  In both cases, there is no compelling reason </w:t>
      </w:r>
      <w:r w:rsidR="00B91D6B" w:rsidRPr="002E3648">
        <w:rPr>
          <w:rFonts w:asciiTheme="majorHAnsi" w:hAnsiTheme="majorHAnsi"/>
        </w:rPr>
        <w:t xml:space="preserve">for these entities </w:t>
      </w:r>
      <w:r w:rsidR="001E0508" w:rsidRPr="002E3648">
        <w:rPr>
          <w:rFonts w:asciiTheme="majorHAnsi" w:hAnsiTheme="majorHAnsi"/>
        </w:rPr>
        <w:t>to seek accreditation –</w:t>
      </w:r>
      <w:r w:rsidR="001A7B74" w:rsidRPr="002E3648">
        <w:rPr>
          <w:rFonts w:asciiTheme="majorHAnsi" w:hAnsiTheme="majorHAnsi"/>
        </w:rPr>
        <w:t xml:space="preserve"> particularly </w:t>
      </w:r>
      <w:r w:rsidR="00205E01" w:rsidRPr="002E3648">
        <w:rPr>
          <w:rFonts w:asciiTheme="majorHAnsi" w:hAnsiTheme="majorHAnsi"/>
        </w:rPr>
        <w:t xml:space="preserve">from a regional accreditor.  </w:t>
      </w:r>
      <w:r w:rsidR="00BD4DAC" w:rsidRPr="002E3648">
        <w:rPr>
          <w:rFonts w:asciiTheme="majorHAnsi" w:hAnsiTheme="majorHAnsi"/>
        </w:rPr>
        <w:t xml:space="preserve"> </w:t>
      </w:r>
    </w:p>
    <w:p w:rsidR="00205E01" w:rsidRPr="002E3648" w:rsidRDefault="00205E01" w:rsidP="00F54896">
      <w:pPr>
        <w:widowControl w:val="0"/>
        <w:autoSpaceDE w:val="0"/>
        <w:autoSpaceDN w:val="0"/>
        <w:adjustRightInd w:val="0"/>
        <w:spacing w:after="240"/>
        <w:rPr>
          <w:rFonts w:asciiTheme="majorHAnsi" w:hAnsiTheme="majorHAnsi"/>
        </w:rPr>
      </w:pPr>
      <w:r w:rsidRPr="002E3648">
        <w:rPr>
          <w:rFonts w:asciiTheme="majorHAnsi" w:hAnsiTheme="majorHAnsi"/>
        </w:rPr>
        <w:t>It is fair to point out that new providers</w:t>
      </w:r>
      <w:r w:rsidR="00671B81" w:rsidRPr="002E3648">
        <w:rPr>
          <w:rFonts w:asciiTheme="majorHAnsi" w:hAnsiTheme="majorHAnsi"/>
        </w:rPr>
        <w:t xml:space="preserve"> (otherwise offering programs eligible under HEA) face challenges in becoming accredited</w:t>
      </w:r>
      <w:r w:rsidR="00AB21CF" w:rsidRPr="002E3648">
        <w:rPr>
          <w:rFonts w:asciiTheme="majorHAnsi" w:hAnsiTheme="majorHAnsi"/>
        </w:rPr>
        <w:t xml:space="preserve">.  Here too, the Higher Education Act is often the source of these barriers. </w:t>
      </w:r>
      <w:r w:rsidR="00253F34" w:rsidRPr="002E3648">
        <w:rPr>
          <w:rFonts w:asciiTheme="majorHAnsi" w:hAnsiTheme="majorHAnsi"/>
        </w:rPr>
        <w:t xml:space="preserve"> For example, </w:t>
      </w:r>
      <w:r w:rsidR="004E2194" w:rsidRPr="002E3648">
        <w:rPr>
          <w:rFonts w:asciiTheme="majorHAnsi" w:hAnsiTheme="majorHAnsi"/>
        </w:rPr>
        <w:t xml:space="preserve">under the law, </w:t>
      </w:r>
      <w:r w:rsidR="00253F34" w:rsidRPr="002E3648">
        <w:rPr>
          <w:rFonts w:asciiTheme="majorHAnsi" w:hAnsiTheme="majorHAnsi"/>
        </w:rPr>
        <w:t>institutions must</w:t>
      </w:r>
      <w:r w:rsidR="00AB21CF" w:rsidRPr="002E3648">
        <w:rPr>
          <w:rFonts w:asciiTheme="majorHAnsi" w:hAnsiTheme="majorHAnsi"/>
        </w:rPr>
        <w:t xml:space="preserve"> </w:t>
      </w:r>
      <w:r w:rsidR="003909AF" w:rsidRPr="002E3648">
        <w:rPr>
          <w:rFonts w:asciiTheme="majorHAnsi" w:hAnsiTheme="majorHAnsi"/>
        </w:rPr>
        <w:t>be in operation for at least two years prio</w:t>
      </w:r>
      <w:r w:rsidR="00253F34" w:rsidRPr="002E3648">
        <w:rPr>
          <w:rFonts w:asciiTheme="majorHAnsi" w:hAnsiTheme="majorHAnsi"/>
        </w:rPr>
        <w:t xml:space="preserve">r to being </w:t>
      </w:r>
      <w:r w:rsidR="004E2194" w:rsidRPr="002E3648">
        <w:rPr>
          <w:rFonts w:asciiTheme="majorHAnsi" w:hAnsiTheme="majorHAnsi"/>
        </w:rPr>
        <w:t>able to participate in Title IV</w:t>
      </w:r>
      <w:r w:rsidR="00740E45" w:rsidRPr="002E3648">
        <w:rPr>
          <w:rFonts w:asciiTheme="majorHAnsi" w:hAnsiTheme="majorHAnsi"/>
        </w:rPr>
        <w:t xml:space="preserve">.  In addition, </w:t>
      </w:r>
      <w:r w:rsidR="004E2194" w:rsidRPr="002E3648">
        <w:rPr>
          <w:rFonts w:asciiTheme="majorHAnsi" w:hAnsiTheme="majorHAnsi"/>
        </w:rPr>
        <w:t xml:space="preserve">while non-profits are able to </w:t>
      </w:r>
      <w:r w:rsidR="00F03C6B" w:rsidRPr="002E3648">
        <w:rPr>
          <w:rFonts w:asciiTheme="majorHAnsi" w:hAnsiTheme="majorHAnsi"/>
        </w:rPr>
        <w:t>participate</w:t>
      </w:r>
      <w:r w:rsidR="00740E45" w:rsidRPr="002E3648">
        <w:rPr>
          <w:rFonts w:asciiTheme="majorHAnsi" w:hAnsiTheme="majorHAnsi"/>
        </w:rPr>
        <w:t xml:space="preserve"> in Title</w:t>
      </w:r>
      <w:r w:rsidR="004E2194" w:rsidRPr="002E3648">
        <w:rPr>
          <w:rFonts w:asciiTheme="majorHAnsi" w:hAnsiTheme="majorHAnsi"/>
        </w:rPr>
        <w:t xml:space="preserve"> IV during candidacy status, </w:t>
      </w:r>
      <w:r w:rsidR="00F03C6B" w:rsidRPr="002E3648">
        <w:rPr>
          <w:rFonts w:asciiTheme="majorHAnsi" w:hAnsiTheme="majorHAnsi"/>
        </w:rPr>
        <w:t>this is not the case with respect to for-p</w:t>
      </w:r>
      <w:r w:rsidR="00146632" w:rsidRPr="002E3648">
        <w:rPr>
          <w:rFonts w:asciiTheme="majorHAnsi" w:hAnsiTheme="majorHAnsi"/>
        </w:rPr>
        <w:t xml:space="preserve">rofit entities.  </w:t>
      </w:r>
    </w:p>
    <w:p w:rsidR="008D6105" w:rsidRPr="002E3648" w:rsidRDefault="00696ABF" w:rsidP="00162907">
      <w:pPr>
        <w:widowControl w:val="0"/>
        <w:autoSpaceDE w:val="0"/>
        <w:autoSpaceDN w:val="0"/>
        <w:adjustRightInd w:val="0"/>
        <w:spacing w:after="240"/>
        <w:rPr>
          <w:rFonts w:asciiTheme="majorHAnsi" w:hAnsiTheme="majorHAnsi"/>
        </w:rPr>
      </w:pPr>
      <w:r w:rsidRPr="002E3648">
        <w:rPr>
          <w:rFonts w:asciiTheme="majorHAnsi" w:hAnsiTheme="majorHAnsi"/>
        </w:rPr>
        <w:t xml:space="preserve">The white paper suggests that increasing competition </w:t>
      </w:r>
      <w:r w:rsidR="005D47F3" w:rsidRPr="002E3648">
        <w:rPr>
          <w:rFonts w:asciiTheme="majorHAnsi" w:hAnsiTheme="majorHAnsi"/>
        </w:rPr>
        <w:t>through</w:t>
      </w:r>
      <w:r w:rsidR="00686592" w:rsidRPr="002E3648">
        <w:rPr>
          <w:rFonts w:asciiTheme="majorHAnsi" w:hAnsiTheme="majorHAnsi"/>
        </w:rPr>
        <w:t xml:space="preserve"> </w:t>
      </w:r>
      <w:r w:rsidRPr="002E3648">
        <w:rPr>
          <w:rFonts w:asciiTheme="majorHAnsi" w:hAnsiTheme="majorHAnsi"/>
        </w:rPr>
        <w:t xml:space="preserve">new accreditors could </w:t>
      </w:r>
      <w:r w:rsidR="004970D8" w:rsidRPr="002E3648">
        <w:rPr>
          <w:rFonts w:asciiTheme="majorHAnsi" w:hAnsiTheme="majorHAnsi"/>
        </w:rPr>
        <w:t xml:space="preserve">open the door to new </w:t>
      </w:r>
      <w:r w:rsidR="00686592" w:rsidRPr="002E3648">
        <w:rPr>
          <w:rFonts w:asciiTheme="majorHAnsi" w:hAnsiTheme="majorHAnsi"/>
        </w:rPr>
        <w:t xml:space="preserve">innovative </w:t>
      </w:r>
      <w:r w:rsidR="004970D8" w:rsidRPr="002E3648">
        <w:rPr>
          <w:rFonts w:asciiTheme="majorHAnsi" w:hAnsiTheme="majorHAnsi"/>
        </w:rPr>
        <w:t xml:space="preserve">providers.  However, in reality, unless changes are made to the underlying requirements for Title IV, </w:t>
      </w:r>
      <w:r w:rsidR="005D47F3" w:rsidRPr="002E3648">
        <w:rPr>
          <w:rFonts w:asciiTheme="majorHAnsi" w:hAnsiTheme="majorHAnsi"/>
        </w:rPr>
        <w:t>simply adding</w:t>
      </w:r>
      <w:r w:rsidR="004970D8" w:rsidRPr="002E3648">
        <w:rPr>
          <w:rFonts w:asciiTheme="majorHAnsi" w:hAnsiTheme="majorHAnsi"/>
        </w:rPr>
        <w:t xml:space="preserve"> ne</w:t>
      </w:r>
      <w:r w:rsidR="00686592" w:rsidRPr="002E3648">
        <w:rPr>
          <w:rFonts w:asciiTheme="majorHAnsi" w:hAnsiTheme="majorHAnsi"/>
        </w:rPr>
        <w:t>w accreditors</w:t>
      </w:r>
      <w:r w:rsidR="00397983" w:rsidRPr="002E3648">
        <w:rPr>
          <w:rFonts w:asciiTheme="majorHAnsi" w:hAnsiTheme="majorHAnsi"/>
        </w:rPr>
        <w:t xml:space="preserve"> (such as states) </w:t>
      </w:r>
      <w:r w:rsidR="005D47F3" w:rsidRPr="002E3648">
        <w:rPr>
          <w:rFonts w:asciiTheme="majorHAnsi" w:hAnsiTheme="majorHAnsi"/>
        </w:rPr>
        <w:t>or expanding the scope of existing accrediting agencies</w:t>
      </w:r>
      <w:r w:rsidR="00686592" w:rsidRPr="002E3648">
        <w:rPr>
          <w:rFonts w:asciiTheme="majorHAnsi" w:hAnsiTheme="majorHAnsi"/>
        </w:rPr>
        <w:t xml:space="preserve"> will </w:t>
      </w:r>
      <w:r w:rsidR="005F2B55" w:rsidRPr="002E3648">
        <w:rPr>
          <w:rFonts w:asciiTheme="majorHAnsi" w:hAnsiTheme="majorHAnsi"/>
        </w:rPr>
        <w:t xml:space="preserve">not result in one single “non-college provider of higher education” </w:t>
      </w:r>
      <w:r w:rsidR="00222C88" w:rsidRPr="002E3648">
        <w:rPr>
          <w:rFonts w:asciiTheme="majorHAnsi" w:hAnsiTheme="majorHAnsi"/>
        </w:rPr>
        <w:t>becoming</w:t>
      </w:r>
      <w:r w:rsidR="005F2B55" w:rsidRPr="002E3648">
        <w:rPr>
          <w:rFonts w:asciiTheme="majorHAnsi" w:hAnsiTheme="majorHAnsi"/>
        </w:rPr>
        <w:t xml:space="preserve"> eligible to participate in Federal Title IV programs. </w:t>
      </w:r>
    </w:p>
    <w:p w:rsidR="0048779E" w:rsidRPr="002E3648" w:rsidRDefault="0048779E" w:rsidP="0048779E">
      <w:pPr>
        <w:rPr>
          <w:rFonts w:asciiTheme="majorHAnsi" w:hAnsiTheme="majorHAnsi"/>
          <w:i/>
        </w:rPr>
      </w:pPr>
      <w:r w:rsidRPr="002E3648">
        <w:rPr>
          <w:rFonts w:asciiTheme="majorHAnsi" w:hAnsiTheme="majorHAnsi"/>
          <w:i/>
        </w:rPr>
        <w:t>Proposal #2: Eliminate the Geographic-Based Structure of Regional Accrediting Agencies</w:t>
      </w:r>
    </w:p>
    <w:p w:rsidR="008623BB" w:rsidRPr="002E3648" w:rsidRDefault="008623BB" w:rsidP="0048779E">
      <w:pPr>
        <w:rPr>
          <w:rFonts w:asciiTheme="majorHAnsi" w:hAnsiTheme="majorHAnsi"/>
          <w:i/>
        </w:rPr>
      </w:pPr>
    </w:p>
    <w:p w:rsidR="00423687" w:rsidRPr="002E3648" w:rsidRDefault="00423687" w:rsidP="008623BB">
      <w:pPr>
        <w:rPr>
          <w:rFonts w:asciiTheme="majorHAnsi" w:hAnsiTheme="majorHAnsi"/>
        </w:rPr>
      </w:pPr>
      <w:r w:rsidRPr="002E3648">
        <w:rPr>
          <w:rFonts w:asciiTheme="majorHAnsi" w:hAnsiTheme="majorHAnsi"/>
        </w:rPr>
        <w:t>C-RAC asserts that the suggestions made in this</w:t>
      </w:r>
      <w:r w:rsidR="00DE3841" w:rsidRPr="002E3648">
        <w:rPr>
          <w:rFonts w:asciiTheme="majorHAnsi" w:hAnsiTheme="majorHAnsi"/>
        </w:rPr>
        <w:t xml:space="preserve"> specific</w:t>
      </w:r>
      <w:r w:rsidRPr="002E3648">
        <w:rPr>
          <w:rFonts w:asciiTheme="majorHAnsi" w:hAnsiTheme="majorHAnsi"/>
        </w:rPr>
        <w:t xml:space="preserve"> proposal are not a federal issue</w:t>
      </w:r>
      <w:r w:rsidR="00DE3841" w:rsidRPr="002E3648">
        <w:rPr>
          <w:rFonts w:asciiTheme="majorHAnsi" w:hAnsiTheme="majorHAnsi"/>
        </w:rPr>
        <w:t xml:space="preserve"> that </w:t>
      </w:r>
      <w:r w:rsidR="00222C88" w:rsidRPr="002E3648">
        <w:rPr>
          <w:rFonts w:asciiTheme="majorHAnsi" w:hAnsiTheme="majorHAnsi"/>
        </w:rPr>
        <w:t>should</w:t>
      </w:r>
      <w:r w:rsidRPr="002E3648">
        <w:rPr>
          <w:rFonts w:asciiTheme="majorHAnsi" w:hAnsiTheme="majorHAnsi"/>
        </w:rPr>
        <w:t xml:space="preserve"> be considered. We do not agree that accreditation is presently a “non-competitive activity</w:t>
      </w:r>
      <w:r w:rsidR="00222C88" w:rsidRPr="002E3648">
        <w:rPr>
          <w:rFonts w:asciiTheme="majorHAnsi" w:hAnsiTheme="majorHAnsi"/>
        </w:rPr>
        <w:t>.</w:t>
      </w:r>
      <w:r w:rsidRPr="002E3648">
        <w:rPr>
          <w:rFonts w:asciiTheme="majorHAnsi" w:hAnsiTheme="majorHAnsi"/>
        </w:rPr>
        <w:t xml:space="preserve">” </w:t>
      </w:r>
      <w:r w:rsidR="00222C88" w:rsidRPr="002E3648">
        <w:rPr>
          <w:rFonts w:asciiTheme="majorHAnsi" w:hAnsiTheme="majorHAnsi"/>
        </w:rPr>
        <w:t>In fact, many</w:t>
      </w:r>
      <w:r w:rsidRPr="002E3648">
        <w:rPr>
          <w:rFonts w:asciiTheme="majorHAnsi" w:hAnsiTheme="majorHAnsi"/>
        </w:rPr>
        <w:t xml:space="preserve"> institutions do have the option and flexibility to seek </w:t>
      </w:r>
      <w:r w:rsidR="00222C88" w:rsidRPr="002E3648">
        <w:rPr>
          <w:rFonts w:asciiTheme="majorHAnsi" w:hAnsiTheme="majorHAnsi"/>
        </w:rPr>
        <w:t xml:space="preserve">alternate </w:t>
      </w:r>
      <w:r w:rsidRPr="002E3648">
        <w:rPr>
          <w:rFonts w:asciiTheme="majorHAnsi" w:hAnsiTheme="majorHAnsi"/>
        </w:rPr>
        <w:t>accreditation from</w:t>
      </w:r>
      <w:r w:rsidR="005445BF" w:rsidRPr="002E3648">
        <w:rPr>
          <w:rFonts w:asciiTheme="majorHAnsi" w:hAnsiTheme="majorHAnsi"/>
        </w:rPr>
        <w:t xml:space="preserve"> </w:t>
      </w:r>
      <w:r w:rsidRPr="002E3648">
        <w:rPr>
          <w:rFonts w:asciiTheme="majorHAnsi" w:hAnsiTheme="majorHAnsi"/>
        </w:rPr>
        <w:t>accreditor</w:t>
      </w:r>
      <w:r w:rsidR="005445BF" w:rsidRPr="002E3648">
        <w:rPr>
          <w:rFonts w:asciiTheme="majorHAnsi" w:hAnsiTheme="majorHAnsi"/>
        </w:rPr>
        <w:t xml:space="preserve">s </w:t>
      </w:r>
      <w:r w:rsidR="001B0704" w:rsidRPr="002E3648">
        <w:rPr>
          <w:rFonts w:asciiTheme="majorHAnsi" w:hAnsiTheme="majorHAnsi"/>
        </w:rPr>
        <w:t>recognized by the Secretary of Education</w:t>
      </w:r>
      <w:r w:rsidRPr="002E3648">
        <w:rPr>
          <w:rFonts w:asciiTheme="majorHAnsi" w:hAnsiTheme="majorHAnsi"/>
        </w:rPr>
        <w:t>.</w:t>
      </w:r>
    </w:p>
    <w:p w:rsidR="00423687" w:rsidRPr="002E3648" w:rsidRDefault="00423687" w:rsidP="008623BB">
      <w:pPr>
        <w:rPr>
          <w:rFonts w:asciiTheme="majorHAnsi" w:hAnsiTheme="majorHAnsi"/>
        </w:rPr>
      </w:pPr>
    </w:p>
    <w:p w:rsidR="008623BB" w:rsidRPr="002E3648" w:rsidRDefault="008623BB" w:rsidP="008623BB">
      <w:pPr>
        <w:rPr>
          <w:rFonts w:asciiTheme="majorHAnsi" w:hAnsiTheme="majorHAnsi"/>
        </w:rPr>
      </w:pPr>
      <w:r w:rsidRPr="002E3648">
        <w:rPr>
          <w:rFonts w:asciiTheme="majorHAnsi" w:hAnsiTheme="majorHAnsi"/>
        </w:rPr>
        <w:t>Broadly speaking, C-RAC agrees with the findings from a 2012 Task Force on accreditation by the American Council of Educations (ACE) which concluded</w:t>
      </w:r>
      <w:r w:rsidRPr="002E3648">
        <w:rPr>
          <w:rFonts w:asciiTheme="majorHAnsi" w:hAnsiTheme="majorHAnsi"/>
          <w:vertAlign w:val="superscript"/>
        </w:rPr>
        <w:footnoteReference w:id="3"/>
      </w:r>
      <w:r w:rsidRPr="002E3648">
        <w:rPr>
          <w:rFonts w:asciiTheme="majorHAnsi" w:hAnsiTheme="majorHAnsi"/>
        </w:rPr>
        <w:t xml:space="preserve"> that “replacing the current structure would be costly and would divert attention from the task at hand” and that it is more productive to “build on the current structure and role of regional accreditation.” </w:t>
      </w:r>
    </w:p>
    <w:p w:rsidR="008623BB" w:rsidRPr="002E3648" w:rsidRDefault="008623BB" w:rsidP="008623BB">
      <w:pPr>
        <w:rPr>
          <w:rFonts w:asciiTheme="majorHAnsi" w:hAnsiTheme="majorHAnsi"/>
        </w:rPr>
      </w:pPr>
    </w:p>
    <w:p w:rsidR="008623BB" w:rsidRPr="002E3648" w:rsidRDefault="008623BB" w:rsidP="008623BB">
      <w:pPr>
        <w:rPr>
          <w:rFonts w:asciiTheme="majorHAnsi" w:hAnsiTheme="majorHAnsi"/>
        </w:rPr>
      </w:pPr>
      <w:r w:rsidRPr="002E3648">
        <w:rPr>
          <w:rFonts w:asciiTheme="majorHAnsi" w:hAnsiTheme="majorHAnsi"/>
        </w:rPr>
        <w:t>C-RAC believes there are many benefits to regional accreditation on which to build. These include:</w:t>
      </w:r>
    </w:p>
    <w:p w:rsidR="008623BB" w:rsidRPr="002E3648" w:rsidRDefault="008623BB" w:rsidP="008623BB">
      <w:pPr>
        <w:rPr>
          <w:rFonts w:asciiTheme="majorHAnsi" w:hAnsiTheme="majorHAnsi"/>
        </w:rPr>
      </w:pPr>
    </w:p>
    <w:p w:rsidR="008623BB" w:rsidRPr="002E3648" w:rsidRDefault="008623BB" w:rsidP="008623BB">
      <w:pPr>
        <w:numPr>
          <w:ilvl w:val="0"/>
          <w:numId w:val="8"/>
        </w:numPr>
        <w:rPr>
          <w:rFonts w:asciiTheme="majorHAnsi" w:hAnsiTheme="majorHAnsi"/>
        </w:rPr>
      </w:pPr>
      <w:r w:rsidRPr="002E3648">
        <w:rPr>
          <w:rFonts w:asciiTheme="majorHAnsi" w:hAnsiTheme="majorHAnsi"/>
        </w:rPr>
        <w:t xml:space="preserve">The seven commissions provide a laboratory of ideas and experiments so that regional accreditation can respond to innovation, try varying approaches, and arrive collectively at good practice. This is reflected in the fact that higher education has gone through significant transformation in just the last decade alone – innovations such as distance education and more recently programs offered through competency-based education, including direct assessment, have </w:t>
      </w:r>
      <w:r w:rsidRPr="002E3648">
        <w:rPr>
          <w:rFonts w:asciiTheme="majorHAnsi" w:hAnsiTheme="majorHAnsi"/>
        </w:rPr>
        <w:lastRenderedPageBreak/>
        <w:t>expanded drastically, while accreditors have worked to</w:t>
      </w:r>
      <w:r w:rsidR="009E77CF" w:rsidRPr="002E3648">
        <w:rPr>
          <w:rFonts w:asciiTheme="majorHAnsi" w:hAnsiTheme="majorHAnsi"/>
        </w:rPr>
        <w:t>gether to</w:t>
      </w:r>
      <w:r w:rsidRPr="002E3648">
        <w:rPr>
          <w:rFonts w:asciiTheme="majorHAnsi" w:hAnsiTheme="majorHAnsi"/>
        </w:rPr>
        <w:t xml:space="preserve"> ensure quality of these programs.  </w:t>
      </w:r>
    </w:p>
    <w:p w:rsidR="008623BB" w:rsidRPr="002E3648" w:rsidRDefault="008623BB" w:rsidP="008623BB">
      <w:pPr>
        <w:rPr>
          <w:rFonts w:asciiTheme="majorHAnsi" w:hAnsiTheme="majorHAnsi"/>
        </w:rPr>
      </w:pPr>
    </w:p>
    <w:p w:rsidR="008623BB" w:rsidRPr="002E3648" w:rsidRDefault="008623BB" w:rsidP="008623BB">
      <w:pPr>
        <w:numPr>
          <w:ilvl w:val="0"/>
          <w:numId w:val="7"/>
        </w:numPr>
        <w:rPr>
          <w:rFonts w:asciiTheme="majorHAnsi" w:hAnsiTheme="majorHAnsi"/>
        </w:rPr>
      </w:pPr>
      <w:r w:rsidRPr="002E3648">
        <w:rPr>
          <w:rFonts w:asciiTheme="majorHAnsi" w:hAnsiTheme="majorHAnsi"/>
        </w:rPr>
        <w:t>Working in regions allows accreditors and evaluators to have a deeper and broader knowledge of the institutions they accredit</w:t>
      </w:r>
      <w:r w:rsidR="00774451" w:rsidRPr="002E3648">
        <w:rPr>
          <w:rFonts w:asciiTheme="majorHAnsi" w:hAnsiTheme="majorHAnsi"/>
        </w:rPr>
        <w:t>,</w:t>
      </w:r>
      <w:r w:rsidRPr="002E3648">
        <w:rPr>
          <w:rFonts w:asciiTheme="majorHAnsi" w:hAnsiTheme="majorHAnsi"/>
        </w:rPr>
        <w:t xml:space="preserve"> due to the limited number of member institutions.</w:t>
      </w:r>
    </w:p>
    <w:p w:rsidR="008623BB" w:rsidRPr="002E3648" w:rsidRDefault="008623BB" w:rsidP="008623BB">
      <w:pPr>
        <w:rPr>
          <w:rFonts w:asciiTheme="majorHAnsi" w:hAnsiTheme="majorHAnsi"/>
        </w:rPr>
      </w:pPr>
    </w:p>
    <w:p w:rsidR="008623BB" w:rsidRPr="002E3648" w:rsidRDefault="008623BB" w:rsidP="008623BB">
      <w:pPr>
        <w:numPr>
          <w:ilvl w:val="0"/>
          <w:numId w:val="7"/>
        </w:numPr>
        <w:rPr>
          <w:rFonts w:asciiTheme="majorHAnsi" w:hAnsiTheme="majorHAnsi"/>
        </w:rPr>
      </w:pPr>
      <w:r w:rsidRPr="002E3648">
        <w:rPr>
          <w:rFonts w:asciiTheme="majorHAnsi" w:hAnsiTheme="majorHAnsi"/>
        </w:rPr>
        <w:t xml:space="preserve">Regional accreditors have built strong communities of volunteers with an extraordinary depth and range of talent.  Currently, over 90 college and university presidents serve on </w:t>
      </w:r>
      <w:r w:rsidR="009E77CF" w:rsidRPr="002E3648">
        <w:rPr>
          <w:rFonts w:asciiTheme="majorHAnsi" w:hAnsiTheme="majorHAnsi"/>
        </w:rPr>
        <w:t xml:space="preserve">Boards of </w:t>
      </w:r>
      <w:r w:rsidRPr="002E3648">
        <w:rPr>
          <w:rFonts w:asciiTheme="majorHAnsi" w:hAnsiTheme="majorHAnsi"/>
        </w:rPr>
        <w:t>regional accrediting commissions, along with provo</w:t>
      </w:r>
      <w:r w:rsidR="00774451" w:rsidRPr="002E3648">
        <w:rPr>
          <w:rFonts w:asciiTheme="majorHAnsi" w:hAnsiTheme="majorHAnsi"/>
        </w:rPr>
        <w:t xml:space="preserve">sts, faculty members, trustees </w:t>
      </w:r>
      <w:r w:rsidRPr="002E3648">
        <w:rPr>
          <w:rFonts w:asciiTheme="majorHAnsi" w:hAnsiTheme="majorHAnsi"/>
        </w:rPr>
        <w:t>and experts in finance, technolo</w:t>
      </w:r>
      <w:r w:rsidR="00774451" w:rsidRPr="002E3648">
        <w:rPr>
          <w:rFonts w:asciiTheme="majorHAnsi" w:hAnsiTheme="majorHAnsi"/>
        </w:rPr>
        <w:t>gy</w:t>
      </w:r>
      <w:r w:rsidRPr="002E3648">
        <w:rPr>
          <w:rFonts w:asciiTheme="majorHAnsi" w:hAnsiTheme="majorHAnsi"/>
        </w:rPr>
        <w:t xml:space="preserve"> and student services. Public members include expertise in law, banking, public policy, state government, finance, K-12 education, business, technology and the military.</w:t>
      </w:r>
    </w:p>
    <w:p w:rsidR="008623BB" w:rsidRPr="002E3648" w:rsidRDefault="008623BB" w:rsidP="008623BB">
      <w:pPr>
        <w:rPr>
          <w:rFonts w:asciiTheme="majorHAnsi" w:hAnsiTheme="majorHAnsi"/>
          <w:b/>
        </w:rPr>
      </w:pPr>
    </w:p>
    <w:p w:rsidR="00423687" w:rsidRPr="002E3648" w:rsidRDefault="008623BB" w:rsidP="00423687">
      <w:pPr>
        <w:rPr>
          <w:rFonts w:asciiTheme="majorHAnsi" w:hAnsiTheme="majorHAnsi"/>
        </w:rPr>
      </w:pPr>
      <w:r w:rsidRPr="002E3648">
        <w:rPr>
          <w:rFonts w:asciiTheme="majorHAnsi" w:hAnsiTheme="majorHAnsi"/>
        </w:rPr>
        <w:t xml:space="preserve">Furthermore, C-RAC has the following specific </w:t>
      </w:r>
      <w:r w:rsidR="00423687" w:rsidRPr="002E3648">
        <w:rPr>
          <w:rFonts w:asciiTheme="majorHAnsi" w:hAnsiTheme="majorHAnsi"/>
        </w:rPr>
        <w:t>concerns with expanding the scope of all regional accreditors to be “national” by enabling ins</w:t>
      </w:r>
      <w:r w:rsidR="00DE3841" w:rsidRPr="002E3648">
        <w:rPr>
          <w:rFonts w:asciiTheme="majorHAnsi" w:hAnsiTheme="majorHAnsi"/>
        </w:rPr>
        <w:t>titutions to choose any regional accreditor, regardless of boundaries</w:t>
      </w:r>
      <w:r w:rsidR="00423687" w:rsidRPr="002E3648">
        <w:rPr>
          <w:rFonts w:asciiTheme="majorHAnsi" w:hAnsiTheme="majorHAnsi"/>
        </w:rPr>
        <w:t>:</w:t>
      </w:r>
    </w:p>
    <w:p w:rsidR="00423687" w:rsidRPr="002E3648" w:rsidRDefault="00423687" w:rsidP="00423687">
      <w:pPr>
        <w:rPr>
          <w:rFonts w:asciiTheme="majorHAnsi" w:hAnsiTheme="majorHAnsi"/>
        </w:rPr>
      </w:pPr>
    </w:p>
    <w:p w:rsidR="00423687" w:rsidRPr="002E3648" w:rsidRDefault="00423687" w:rsidP="00423687">
      <w:pPr>
        <w:numPr>
          <w:ilvl w:val="0"/>
          <w:numId w:val="9"/>
        </w:numPr>
        <w:rPr>
          <w:rFonts w:asciiTheme="majorHAnsi" w:hAnsiTheme="majorHAnsi"/>
        </w:rPr>
      </w:pPr>
      <w:r w:rsidRPr="002E3648">
        <w:rPr>
          <w:rFonts w:asciiTheme="majorHAnsi" w:hAnsiTheme="majorHAnsi"/>
        </w:rPr>
        <w:t>By effectively making each regional accreditor have a national footprint, the cost and complexity of overseeing institutions from potentially every state would vastly increase</w:t>
      </w:r>
      <w:r w:rsidR="00774451" w:rsidRPr="002E3648">
        <w:rPr>
          <w:rFonts w:asciiTheme="majorHAnsi" w:hAnsiTheme="majorHAnsi"/>
        </w:rPr>
        <w:t>,</w:t>
      </w:r>
      <w:r w:rsidRPr="002E3648">
        <w:rPr>
          <w:rFonts w:asciiTheme="majorHAnsi" w:hAnsiTheme="majorHAnsi"/>
        </w:rPr>
        <w:t xml:space="preserve"> while doing nothing to improve higher education in this nation.</w:t>
      </w:r>
    </w:p>
    <w:p w:rsidR="00423687" w:rsidRPr="002E3648" w:rsidRDefault="00423687" w:rsidP="00423687">
      <w:pPr>
        <w:rPr>
          <w:rFonts w:asciiTheme="majorHAnsi" w:hAnsiTheme="majorHAnsi"/>
        </w:rPr>
      </w:pPr>
    </w:p>
    <w:p w:rsidR="008623BB" w:rsidRPr="002E3648" w:rsidRDefault="00423687" w:rsidP="00423687">
      <w:pPr>
        <w:numPr>
          <w:ilvl w:val="0"/>
          <w:numId w:val="9"/>
        </w:numPr>
        <w:rPr>
          <w:rFonts w:asciiTheme="majorHAnsi" w:hAnsiTheme="majorHAnsi"/>
        </w:rPr>
      </w:pPr>
      <w:r w:rsidRPr="002E3648">
        <w:rPr>
          <w:rFonts w:asciiTheme="majorHAnsi" w:hAnsiTheme="majorHAnsi"/>
        </w:rPr>
        <w:t>Institutions might lose a sense of ownership in the standards and process of regional accreditation, an important foundation for a system of self-regulation.</w:t>
      </w:r>
    </w:p>
    <w:p w:rsidR="00423687" w:rsidRPr="002E3648" w:rsidRDefault="00423687" w:rsidP="00216264">
      <w:pPr>
        <w:rPr>
          <w:rFonts w:asciiTheme="majorHAnsi" w:hAnsiTheme="majorHAnsi"/>
        </w:rPr>
      </w:pPr>
    </w:p>
    <w:p w:rsidR="00423687" w:rsidRPr="002E3648" w:rsidRDefault="00423687" w:rsidP="00423687">
      <w:pPr>
        <w:rPr>
          <w:rFonts w:asciiTheme="majorHAnsi" w:hAnsiTheme="majorHAnsi"/>
        </w:rPr>
      </w:pPr>
      <w:r w:rsidRPr="002E3648">
        <w:rPr>
          <w:rFonts w:asciiTheme="majorHAnsi" w:hAnsiTheme="majorHAnsi"/>
        </w:rPr>
        <w:t xml:space="preserve">Additionally, C-RAC has the following </w:t>
      </w:r>
      <w:r w:rsidR="00DE3841" w:rsidRPr="002E3648">
        <w:rPr>
          <w:rFonts w:asciiTheme="majorHAnsi" w:hAnsiTheme="majorHAnsi"/>
        </w:rPr>
        <w:t>detailed</w:t>
      </w:r>
      <w:r w:rsidRPr="002E3648">
        <w:rPr>
          <w:rFonts w:asciiTheme="majorHAnsi" w:hAnsiTheme="majorHAnsi"/>
        </w:rPr>
        <w:t xml:space="preserve"> concerns with replacing regional accreditation with a sector-based system or </w:t>
      </w:r>
      <w:r w:rsidR="00DE3841" w:rsidRPr="002E3648">
        <w:rPr>
          <w:rFonts w:asciiTheme="majorHAnsi" w:hAnsiTheme="majorHAnsi"/>
        </w:rPr>
        <w:t xml:space="preserve">implementing </w:t>
      </w:r>
      <w:r w:rsidRPr="002E3648">
        <w:rPr>
          <w:rFonts w:asciiTheme="majorHAnsi" w:hAnsiTheme="majorHAnsi"/>
        </w:rPr>
        <w:t>“basic institutional classification”:</w:t>
      </w:r>
    </w:p>
    <w:p w:rsidR="00423687" w:rsidRPr="002E3648" w:rsidRDefault="00423687" w:rsidP="00423687">
      <w:pPr>
        <w:rPr>
          <w:rFonts w:asciiTheme="majorHAnsi" w:hAnsiTheme="majorHAnsi"/>
        </w:rPr>
      </w:pPr>
    </w:p>
    <w:p w:rsidR="00423687" w:rsidRPr="002E3648" w:rsidRDefault="00423687" w:rsidP="00423687">
      <w:pPr>
        <w:numPr>
          <w:ilvl w:val="0"/>
          <w:numId w:val="6"/>
        </w:numPr>
        <w:rPr>
          <w:rFonts w:asciiTheme="majorHAnsi" w:hAnsiTheme="majorHAnsi"/>
        </w:rPr>
      </w:pPr>
      <w:r w:rsidRPr="002E3648">
        <w:rPr>
          <w:rFonts w:asciiTheme="majorHAnsi" w:hAnsiTheme="majorHAnsi"/>
        </w:rPr>
        <w:t>The complexity of institutional variety suggests that there are no bright lines among sectors.</w:t>
      </w:r>
      <w:r w:rsidRPr="002E3648">
        <w:rPr>
          <w:rFonts w:asciiTheme="majorHAnsi" w:hAnsiTheme="majorHAnsi"/>
          <w:vertAlign w:val="superscript"/>
        </w:rPr>
        <w:footnoteReference w:id="4"/>
      </w:r>
      <w:r w:rsidRPr="002E3648">
        <w:rPr>
          <w:rFonts w:asciiTheme="majorHAnsi" w:hAnsiTheme="majorHAnsi"/>
        </w:rPr>
        <w:t xml:space="preserve"> There are 62 members of AAU, but the next 5-10 institutions (at least) are substantially like the first 62. Community colleges comprise another apparently similar group, but with the growth of four-year programs at community colleges (not to mention the existing differences between, for example, large urban- and small rural- community colleges) there is great variety in that group.  </w:t>
      </w:r>
    </w:p>
    <w:p w:rsidR="00423687" w:rsidRPr="002E3648" w:rsidRDefault="00423687" w:rsidP="00423687">
      <w:pPr>
        <w:rPr>
          <w:rFonts w:asciiTheme="majorHAnsi" w:hAnsiTheme="majorHAnsi"/>
        </w:rPr>
      </w:pPr>
    </w:p>
    <w:p w:rsidR="00423687" w:rsidRPr="002E3648" w:rsidRDefault="00423687" w:rsidP="00423687">
      <w:pPr>
        <w:numPr>
          <w:ilvl w:val="0"/>
          <w:numId w:val="6"/>
        </w:numPr>
        <w:rPr>
          <w:rFonts w:asciiTheme="majorHAnsi" w:hAnsiTheme="majorHAnsi"/>
        </w:rPr>
      </w:pPr>
      <w:r w:rsidRPr="002E3648">
        <w:rPr>
          <w:rFonts w:asciiTheme="majorHAnsi" w:hAnsiTheme="majorHAnsi"/>
        </w:rPr>
        <w:t xml:space="preserve">By including a diverse set of institutions, regional accreditation promotes and eases the ability for students to transfer credits between institutions.  Sector-based accreditation for institutions might well encourage the perception that </w:t>
      </w:r>
      <w:r w:rsidRPr="002E3648">
        <w:rPr>
          <w:rFonts w:asciiTheme="majorHAnsi" w:hAnsiTheme="majorHAnsi"/>
        </w:rPr>
        <w:lastRenderedPageBreak/>
        <w:t>some accreditation is ‘better’ or reflects a ‘higher level,’ and students might then find it even more difficult to transfer their credits or change sectors for a graduate degree.</w:t>
      </w:r>
    </w:p>
    <w:p w:rsidR="00423687" w:rsidRPr="002E3648" w:rsidRDefault="00423687" w:rsidP="00423687">
      <w:pPr>
        <w:rPr>
          <w:rFonts w:asciiTheme="majorHAnsi" w:hAnsiTheme="majorHAnsi"/>
        </w:rPr>
      </w:pPr>
    </w:p>
    <w:p w:rsidR="00423687" w:rsidRPr="002E3648" w:rsidRDefault="00423687" w:rsidP="00423687">
      <w:pPr>
        <w:numPr>
          <w:ilvl w:val="0"/>
          <w:numId w:val="6"/>
        </w:numPr>
        <w:rPr>
          <w:rFonts w:asciiTheme="majorHAnsi" w:hAnsiTheme="majorHAnsi"/>
        </w:rPr>
      </w:pPr>
      <w:r w:rsidRPr="002E3648">
        <w:rPr>
          <w:rFonts w:asciiTheme="majorHAnsi" w:hAnsiTheme="majorHAnsi"/>
        </w:rPr>
        <w:t>Different types of institutions benefit from the experiences, challenges and innovations from one another through the current accreditation system.</w:t>
      </w:r>
    </w:p>
    <w:p w:rsidR="002E3648" w:rsidRPr="002E3648" w:rsidRDefault="002E3648" w:rsidP="0048779E">
      <w:pPr>
        <w:rPr>
          <w:rFonts w:asciiTheme="majorHAnsi" w:hAnsiTheme="majorHAnsi"/>
          <w:b/>
        </w:rPr>
      </w:pPr>
    </w:p>
    <w:p w:rsidR="0048779E" w:rsidRPr="002E3648" w:rsidRDefault="0048779E" w:rsidP="0048779E">
      <w:pPr>
        <w:rPr>
          <w:rFonts w:asciiTheme="majorHAnsi" w:hAnsiTheme="majorHAnsi"/>
          <w:b/>
        </w:rPr>
      </w:pPr>
      <w:r w:rsidRPr="002E3648">
        <w:rPr>
          <w:rFonts w:asciiTheme="majorHAnsi" w:hAnsiTheme="majorHAnsi"/>
          <w:b/>
        </w:rPr>
        <w:t>Keep Recognition of Accrediting Agencies Independent and Free from Politics</w:t>
      </w:r>
    </w:p>
    <w:p w:rsidR="0036575B" w:rsidRPr="002E3648" w:rsidRDefault="0036575B" w:rsidP="0048779E">
      <w:pPr>
        <w:rPr>
          <w:rFonts w:asciiTheme="majorHAnsi" w:hAnsiTheme="majorHAnsi" w:cs="Times New Roman"/>
        </w:rPr>
      </w:pPr>
    </w:p>
    <w:p w:rsidR="0048779E" w:rsidRPr="002E3648" w:rsidRDefault="0048779E" w:rsidP="0048779E">
      <w:pPr>
        <w:rPr>
          <w:rFonts w:asciiTheme="majorHAnsi" w:hAnsiTheme="majorHAnsi"/>
          <w:i/>
          <w:iCs/>
          <w:sz w:val="23"/>
          <w:szCs w:val="23"/>
        </w:rPr>
      </w:pPr>
      <w:r w:rsidRPr="002E3648">
        <w:rPr>
          <w:rFonts w:asciiTheme="majorHAnsi" w:hAnsiTheme="majorHAnsi"/>
          <w:i/>
          <w:iCs/>
          <w:sz w:val="23"/>
          <w:szCs w:val="23"/>
        </w:rPr>
        <w:t xml:space="preserve">Proposal: Ensure the NACIQI’s Independence </w:t>
      </w:r>
    </w:p>
    <w:p w:rsidR="00423687" w:rsidRPr="002E3648" w:rsidRDefault="00423687" w:rsidP="0048779E">
      <w:pPr>
        <w:rPr>
          <w:rFonts w:asciiTheme="majorHAnsi" w:hAnsiTheme="majorHAnsi"/>
          <w:i/>
          <w:iCs/>
          <w:sz w:val="23"/>
          <w:szCs w:val="23"/>
        </w:rPr>
      </w:pPr>
    </w:p>
    <w:p w:rsidR="00423687" w:rsidRPr="002E3648" w:rsidRDefault="00423687" w:rsidP="0048779E">
      <w:pPr>
        <w:rPr>
          <w:rFonts w:asciiTheme="majorHAnsi" w:hAnsiTheme="majorHAnsi"/>
          <w:iCs/>
          <w:sz w:val="23"/>
          <w:szCs w:val="23"/>
        </w:rPr>
      </w:pPr>
      <w:r w:rsidRPr="002E3648">
        <w:rPr>
          <w:rFonts w:asciiTheme="majorHAnsi" w:hAnsiTheme="majorHAnsi"/>
          <w:iCs/>
          <w:sz w:val="23"/>
          <w:szCs w:val="23"/>
        </w:rPr>
        <w:t xml:space="preserve">While we welcome the first suggestion that the Secretary of Education’s authority should be limited from expanding to making policy-related recognition decisions outside of what is legally allowed </w:t>
      </w:r>
      <w:r w:rsidR="00DE3841" w:rsidRPr="002E3648">
        <w:rPr>
          <w:rFonts w:asciiTheme="majorHAnsi" w:hAnsiTheme="majorHAnsi"/>
          <w:iCs/>
          <w:sz w:val="23"/>
          <w:szCs w:val="23"/>
        </w:rPr>
        <w:t>at present</w:t>
      </w:r>
      <w:r w:rsidRPr="002E3648">
        <w:rPr>
          <w:rFonts w:asciiTheme="majorHAnsi" w:hAnsiTheme="majorHAnsi"/>
          <w:iCs/>
          <w:sz w:val="23"/>
          <w:szCs w:val="23"/>
        </w:rPr>
        <w:t xml:space="preserve">, C-RAC does object to the recommendation of authorizing NACIQI to hire its own accreditation staff. </w:t>
      </w:r>
      <w:r w:rsidR="003B264D" w:rsidRPr="002E3648">
        <w:rPr>
          <w:rFonts w:asciiTheme="majorHAnsi" w:hAnsiTheme="majorHAnsi"/>
          <w:iCs/>
          <w:sz w:val="23"/>
          <w:szCs w:val="23"/>
        </w:rPr>
        <w:t>We believe allowing NACIQI to have its own staff would in effect make NACIQI a “shadow” Department of Education</w:t>
      </w:r>
      <w:r w:rsidR="007D7F1F" w:rsidRPr="002E3648">
        <w:rPr>
          <w:rFonts w:asciiTheme="majorHAnsi" w:hAnsiTheme="majorHAnsi"/>
          <w:iCs/>
          <w:sz w:val="23"/>
          <w:szCs w:val="23"/>
        </w:rPr>
        <w:t xml:space="preserve">, and ultimately required accreditors to go through two separate reviews </w:t>
      </w:r>
      <w:r w:rsidR="00272B42" w:rsidRPr="002E3648">
        <w:rPr>
          <w:rFonts w:asciiTheme="majorHAnsi" w:hAnsiTheme="majorHAnsi"/>
          <w:iCs/>
          <w:sz w:val="23"/>
          <w:szCs w:val="23"/>
        </w:rPr>
        <w:t>– which is the last thing we need</w:t>
      </w:r>
      <w:r w:rsidR="003B264D" w:rsidRPr="002E3648">
        <w:rPr>
          <w:rFonts w:asciiTheme="majorHAnsi" w:hAnsiTheme="majorHAnsi"/>
          <w:iCs/>
          <w:sz w:val="23"/>
          <w:szCs w:val="23"/>
        </w:rPr>
        <w:t>. This would lead to the process of recognizing an accrediting agency becoming a political affair and would threaten the objective and fair process currently outlined by law.</w:t>
      </w:r>
    </w:p>
    <w:p w:rsidR="003B264D" w:rsidRPr="002E3648" w:rsidRDefault="003B264D" w:rsidP="0048779E">
      <w:pPr>
        <w:rPr>
          <w:rFonts w:asciiTheme="majorHAnsi" w:hAnsiTheme="majorHAnsi"/>
          <w:iCs/>
          <w:sz w:val="23"/>
          <w:szCs w:val="23"/>
        </w:rPr>
      </w:pPr>
    </w:p>
    <w:p w:rsidR="003B264D" w:rsidRPr="002E3648" w:rsidRDefault="003B264D" w:rsidP="0048779E">
      <w:pPr>
        <w:rPr>
          <w:rFonts w:asciiTheme="majorHAnsi" w:hAnsiTheme="majorHAnsi"/>
          <w:sz w:val="23"/>
          <w:szCs w:val="23"/>
        </w:rPr>
      </w:pPr>
      <w:r w:rsidRPr="002E3648">
        <w:rPr>
          <w:rFonts w:asciiTheme="majorHAnsi" w:hAnsiTheme="majorHAnsi"/>
          <w:sz w:val="23"/>
          <w:szCs w:val="23"/>
        </w:rPr>
        <w:t>Under HEA, NACIQI’s primary function is to provide recommendations to the Secretary concerning “whether accrediting entities’ standards are sufficiently rigorous and effective in their application to ensure that the entity is a reliable authority regarding the quality of the education or training provided by the institutions or programs it accredits.” We believe that NACIQI’s role should continue to be defined as such and therefore does not warrant</w:t>
      </w:r>
      <w:r w:rsidR="00DE3841" w:rsidRPr="002E3648">
        <w:rPr>
          <w:rFonts w:asciiTheme="majorHAnsi" w:hAnsiTheme="majorHAnsi"/>
          <w:sz w:val="23"/>
          <w:szCs w:val="23"/>
        </w:rPr>
        <w:t xml:space="preserve"> NACIQI expanding to have a</w:t>
      </w:r>
      <w:r w:rsidRPr="002E3648">
        <w:rPr>
          <w:rFonts w:asciiTheme="majorHAnsi" w:hAnsiTheme="majorHAnsi"/>
          <w:sz w:val="23"/>
          <w:szCs w:val="23"/>
        </w:rPr>
        <w:t xml:space="preserve"> specific accreditation staff.</w:t>
      </w:r>
    </w:p>
    <w:p w:rsidR="00F071BC" w:rsidRPr="002E3648" w:rsidRDefault="00F071BC" w:rsidP="0048779E">
      <w:pPr>
        <w:rPr>
          <w:rFonts w:asciiTheme="majorHAnsi" w:hAnsiTheme="majorHAnsi"/>
          <w:sz w:val="23"/>
          <w:szCs w:val="23"/>
        </w:rPr>
      </w:pPr>
    </w:p>
    <w:p w:rsidR="00DE3841" w:rsidRPr="002E3648" w:rsidRDefault="00DE3841" w:rsidP="0048779E">
      <w:pPr>
        <w:rPr>
          <w:rFonts w:asciiTheme="majorHAnsi" w:hAnsiTheme="majorHAnsi"/>
          <w:sz w:val="23"/>
          <w:szCs w:val="23"/>
        </w:rPr>
      </w:pPr>
      <w:r w:rsidRPr="002E3648">
        <w:rPr>
          <w:rFonts w:asciiTheme="majorHAnsi" w:hAnsiTheme="majorHAnsi"/>
          <w:sz w:val="23"/>
          <w:szCs w:val="23"/>
        </w:rPr>
        <w:t xml:space="preserve">We thank you for this opportunity to provide input on your concepts and proposals for higher education accreditation. We remain committed to working collaboratively with Congress, NACIQI, the U.S. Department of Education and other stakeholders to ensure that our nation continues to have the world’s premier system of higher education. </w:t>
      </w:r>
    </w:p>
    <w:p w:rsidR="00DE3841" w:rsidRPr="002E3648" w:rsidRDefault="00DE3841" w:rsidP="0048779E">
      <w:pPr>
        <w:rPr>
          <w:rFonts w:asciiTheme="majorHAnsi" w:hAnsiTheme="majorHAnsi"/>
          <w:sz w:val="23"/>
          <w:szCs w:val="23"/>
        </w:rPr>
      </w:pPr>
    </w:p>
    <w:p w:rsidR="00DE3841" w:rsidRPr="002E3648" w:rsidRDefault="00DE3841" w:rsidP="0048779E">
      <w:pPr>
        <w:rPr>
          <w:rFonts w:asciiTheme="majorHAnsi" w:hAnsiTheme="majorHAnsi"/>
          <w:sz w:val="23"/>
          <w:szCs w:val="23"/>
        </w:rPr>
      </w:pPr>
      <w:r w:rsidRPr="002E3648">
        <w:rPr>
          <w:rFonts w:asciiTheme="majorHAnsi" w:hAnsiTheme="majorHAnsi"/>
          <w:sz w:val="23"/>
          <w:szCs w:val="23"/>
        </w:rPr>
        <w:t xml:space="preserve">Sincerely, </w:t>
      </w:r>
    </w:p>
    <w:p w:rsidR="00DE3841" w:rsidRDefault="00DE3841" w:rsidP="0048779E">
      <w:pPr>
        <w:rPr>
          <w:rFonts w:asciiTheme="majorHAnsi" w:hAnsiTheme="majorHAnsi"/>
          <w:sz w:val="23"/>
          <w:szCs w:val="23"/>
        </w:rPr>
      </w:pPr>
    </w:p>
    <w:p w:rsidR="002E3648" w:rsidRPr="002E3648" w:rsidRDefault="002E3648" w:rsidP="0048779E">
      <w:pPr>
        <w:rPr>
          <w:rFonts w:asciiTheme="majorHAnsi" w:hAnsiTheme="majorHAnsi"/>
          <w:sz w:val="23"/>
          <w:szCs w:val="23"/>
        </w:rPr>
      </w:pPr>
    </w:p>
    <w:p w:rsidR="00EE7627" w:rsidRPr="002E3648" w:rsidRDefault="00EE7627" w:rsidP="0048779E">
      <w:pPr>
        <w:rPr>
          <w:rFonts w:asciiTheme="majorHAnsi" w:hAnsiTheme="majorHAnsi"/>
          <w:sz w:val="23"/>
          <w:szCs w:val="23"/>
        </w:rPr>
      </w:pPr>
    </w:p>
    <w:p w:rsidR="00DE3841" w:rsidRPr="002E3648" w:rsidRDefault="00DE3841" w:rsidP="0048779E">
      <w:pPr>
        <w:rPr>
          <w:rFonts w:asciiTheme="majorHAnsi" w:hAnsiTheme="majorHAnsi"/>
          <w:sz w:val="23"/>
          <w:szCs w:val="23"/>
        </w:rPr>
      </w:pPr>
      <w:r w:rsidRPr="002E3648">
        <w:rPr>
          <w:rFonts w:asciiTheme="majorHAnsi" w:hAnsiTheme="majorHAnsi"/>
          <w:sz w:val="23"/>
          <w:szCs w:val="23"/>
        </w:rPr>
        <w:t xml:space="preserve">Barbara Brittingham </w:t>
      </w:r>
    </w:p>
    <w:p w:rsidR="0048779E" w:rsidRPr="002E3648" w:rsidRDefault="00EE7627" w:rsidP="0048779E">
      <w:pPr>
        <w:rPr>
          <w:rFonts w:asciiTheme="majorHAnsi" w:hAnsiTheme="majorHAnsi"/>
          <w:sz w:val="23"/>
          <w:szCs w:val="23"/>
        </w:rPr>
      </w:pPr>
      <w:r w:rsidRPr="002E3648">
        <w:rPr>
          <w:rFonts w:asciiTheme="majorHAnsi" w:hAnsiTheme="majorHAnsi"/>
          <w:sz w:val="23"/>
          <w:szCs w:val="23"/>
        </w:rPr>
        <w:t>Chair</w:t>
      </w:r>
    </w:p>
    <w:p w:rsidR="00EC0620" w:rsidRPr="002E3648" w:rsidRDefault="00EE7627">
      <w:pPr>
        <w:rPr>
          <w:rFonts w:asciiTheme="majorHAnsi" w:hAnsiTheme="majorHAnsi" w:cs="Arial"/>
          <w:sz w:val="23"/>
          <w:szCs w:val="23"/>
        </w:rPr>
      </w:pPr>
      <w:r w:rsidRPr="002E3648">
        <w:rPr>
          <w:rFonts w:asciiTheme="majorHAnsi" w:hAnsiTheme="majorHAnsi"/>
          <w:sz w:val="23"/>
          <w:szCs w:val="23"/>
        </w:rPr>
        <w:t>Council of Regional Accrediting Commissions</w:t>
      </w:r>
    </w:p>
    <w:sectPr w:rsidR="00EC0620" w:rsidRPr="002E3648" w:rsidSect="00737A69">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87F" w:rsidRDefault="00BA287F" w:rsidP="00302629">
      <w:r>
        <w:separator/>
      </w:r>
    </w:p>
  </w:endnote>
  <w:endnote w:type="continuationSeparator" w:id="0">
    <w:p w:rsidR="00BA287F" w:rsidRDefault="00BA287F" w:rsidP="0030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ITC Avant Garde Gothic">
    <w:altName w:val="Century Gothic"/>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10" w:rsidRDefault="005F0310" w:rsidP="007D7F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0310" w:rsidRDefault="005F0310" w:rsidP="002E36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10" w:rsidRDefault="005F0310" w:rsidP="007D7F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6106">
      <w:rPr>
        <w:rStyle w:val="PageNumber"/>
        <w:noProof/>
      </w:rPr>
      <w:t>1</w:t>
    </w:r>
    <w:r>
      <w:rPr>
        <w:rStyle w:val="PageNumber"/>
      </w:rPr>
      <w:fldChar w:fldCharType="end"/>
    </w:r>
  </w:p>
  <w:p w:rsidR="005F0310" w:rsidRDefault="005F0310" w:rsidP="007D7F1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10" w:rsidRDefault="005F0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87F" w:rsidRDefault="00BA287F" w:rsidP="00302629">
      <w:r>
        <w:separator/>
      </w:r>
    </w:p>
  </w:footnote>
  <w:footnote w:type="continuationSeparator" w:id="0">
    <w:p w:rsidR="00BA287F" w:rsidRDefault="00BA287F" w:rsidP="00302629">
      <w:r>
        <w:continuationSeparator/>
      </w:r>
    </w:p>
  </w:footnote>
  <w:footnote w:id="1">
    <w:p w:rsidR="005F0310" w:rsidRPr="00901839" w:rsidRDefault="005F0310" w:rsidP="00567694">
      <w:pPr>
        <w:rPr>
          <w:rFonts w:cs="Arial"/>
          <w:sz w:val="16"/>
          <w:szCs w:val="16"/>
        </w:rPr>
      </w:pPr>
      <w:r>
        <w:rPr>
          <w:rStyle w:val="FootnoteReference"/>
        </w:rPr>
        <w:footnoteRef/>
      </w:r>
      <w:r>
        <w:t xml:space="preserve"> </w:t>
      </w:r>
      <w:hyperlink r:id="rId1" w:history="1">
        <w:r w:rsidRPr="00901839">
          <w:rPr>
            <w:rStyle w:val="Hyperlink"/>
            <w:rFonts w:cs="Arial"/>
            <w:sz w:val="16"/>
            <w:szCs w:val="16"/>
          </w:rPr>
          <w:t>http://www.learningoutcomeassessment.org/Presentations/AACJCDQPmtg.pdf</w:t>
        </w:r>
      </w:hyperlink>
    </w:p>
    <w:p w:rsidR="005F0310" w:rsidRPr="00901839" w:rsidRDefault="005F0310" w:rsidP="00567694">
      <w:pPr>
        <w:pStyle w:val="FootnoteText"/>
        <w:rPr>
          <w:lang w:val="en-US"/>
        </w:rPr>
      </w:pPr>
    </w:p>
  </w:footnote>
  <w:footnote w:id="2">
    <w:p w:rsidR="005F0310" w:rsidRPr="00216264" w:rsidRDefault="005F0310" w:rsidP="00216264">
      <w:pPr>
        <w:widowControl w:val="0"/>
        <w:autoSpaceDE w:val="0"/>
        <w:autoSpaceDN w:val="0"/>
        <w:adjustRightInd w:val="0"/>
        <w:spacing w:after="240"/>
        <w:rPr>
          <w:rFonts w:asciiTheme="majorHAnsi" w:hAnsiTheme="majorHAnsi" w:cs="Times New Roman"/>
          <w:sz w:val="16"/>
          <w:szCs w:val="16"/>
        </w:rPr>
      </w:pPr>
      <w:r>
        <w:rPr>
          <w:rStyle w:val="FootnoteReference"/>
        </w:rPr>
        <w:footnoteRef/>
      </w:r>
      <w:r>
        <w:t xml:space="preserve"> </w:t>
      </w:r>
      <w:r w:rsidRPr="00CB6B50">
        <w:rPr>
          <w:sz w:val="16"/>
          <w:szCs w:val="16"/>
        </w:rPr>
        <w:t>https://nces.ed.gov/programs/digest/d13/tables/dt13_311.15.asp</w:t>
      </w:r>
    </w:p>
  </w:footnote>
  <w:footnote w:id="3">
    <w:p w:rsidR="005F0310" w:rsidRDefault="005F0310" w:rsidP="008623BB">
      <w:pPr>
        <w:pStyle w:val="FootnoteText"/>
      </w:pPr>
      <w:r>
        <w:rPr>
          <w:rStyle w:val="FootnoteReference"/>
        </w:rPr>
        <w:footnoteRef/>
      </w:r>
      <w:r>
        <w:t xml:space="preserve"> </w:t>
      </w:r>
      <w:r w:rsidRPr="007C4BA7">
        <w:rPr>
          <w:sz w:val="18"/>
          <w:szCs w:val="18"/>
        </w:rPr>
        <w:t>American Council on Education,</w:t>
      </w:r>
      <w:r>
        <w:t xml:space="preserve"> </w:t>
      </w:r>
      <w:r w:rsidRPr="007C4BA7">
        <w:rPr>
          <w:i/>
          <w:sz w:val="18"/>
          <w:szCs w:val="18"/>
        </w:rPr>
        <w:t>Assuring Academic Quality in the 21</w:t>
      </w:r>
      <w:r w:rsidRPr="007C4BA7">
        <w:rPr>
          <w:i/>
          <w:sz w:val="18"/>
          <w:szCs w:val="18"/>
          <w:vertAlign w:val="superscript"/>
        </w:rPr>
        <w:t>st</w:t>
      </w:r>
      <w:r w:rsidRPr="007C4BA7">
        <w:rPr>
          <w:i/>
          <w:sz w:val="18"/>
          <w:szCs w:val="18"/>
        </w:rPr>
        <w:t xml:space="preserve"> Century: A Report of the ACE National Task Force on Institutional Accreditation</w:t>
      </w:r>
      <w:r w:rsidRPr="0028337E">
        <w:rPr>
          <w:sz w:val="18"/>
          <w:szCs w:val="18"/>
        </w:rPr>
        <w:t>, 2012,  p.18,  http://www.acenet.edu/news-room/Pages/Assuring-Academic-Quality-in-the-21st-Century.aspx</w:t>
      </w:r>
    </w:p>
  </w:footnote>
  <w:footnote w:id="4">
    <w:p w:rsidR="005F0310" w:rsidRPr="007331FB" w:rsidRDefault="005F0310" w:rsidP="00423687">
      <w:pPr>
        <w:pStyle w:val="FootnoteText"/>
        <w:rPr>
          <w:sz w:val="18"/>
          <w:szCs w:val="18"/>
        </w:rPr>
      </w:pPr>
      <w:r>
        <w:rPr>
          <w:rStyle w:val="FootnoteReference"/>
        </w:rPr>
        <w:footnoteRef/>
      </w:r>
      <w:r>
        <w:t xml:space="preserve"> </w:t>
      </w:r>
      <w:r w:rsidRPr="007331FB">
        <w:rPr>
          <w:sz w:val="18"/>
          <w:szCs w:val="18"/>
        </w:rPr>
        <w:t>That said, there is some degree of sector accreditation among theological schools, art schools, music schools, Christian colleges and for-profit institutions.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10" w:rsidRDefault="005F03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10" w:rsidRDefault="005F03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10" w:rsidRDefault="005F03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E4C72F1"/>
    <w:multiLevelType w:val="hybridMultilevel"/>
    <w:tmpl w:val="7178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FD1421"/>
    <w:multiLevelType w:val="hybridMultilevel"/>
    <w:tmpl w:val="DC7ACD40"/>
    <w:lvl w:ilvl="0" w:tplc="0E623CAC">
      <w:start w:val="3"/>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A25199"/>
    <w:multiLevelType w:val="hybridMultilevel"/>
    <w:tmpl w:val="54048870"/>
    <w:lvl w:ilvl="0" w:tplc="BE52C8D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8131A5"/>
    <w:multiLevelType w:val="hybridMultilevel"/>
    <w:tmpl w:val="83CA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9C4921"/>
    <w:multiLevelType w:val="hybridMultilevel"/>
    <w:tmpl w:val="4878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8C23F2"/>
    <w:multiLevelType w:val="hybridMultilevel"/>
    <w:tmpl w:val="6AEE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0E7D5B"/>
    <w:multiLevelType w:val="hybridMultilevel"/>
    <w:tmpl w:val="DB24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B342C4"/>
    <w:multiLevelType w:val="hybridMultilevel"/>
    <w:tmpl w:val="12E6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063259"/>
    <w:multiLevelType w:val="hybridMultilevel"/>
    <w:tmpl w:val="8BD4B788"/>
    <w:lvl w:ilvl="0" w:tplc="0E623CAC">
      <w:start w:val="3"/>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1A705C"/>
    <w:multiLevelType w:val="multilevel"/>
    <w:tmpl w:val="88302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DB1630"/>
    <w:multiLevelType w:val="hybridMultilevel"/>
    <w:tmpl w:val="B2CA5B66"/>
    <w:lvl w:ilvl="0" w:tplc="B0C85B80">
      <w:start w:val="1"/>
      <w:numFmt w:val="bullet"/>
      <w:lvlText w:val="-"/>
      <w:lvlJc w:val="left"/>
      <w:pPr>
        <w:ind w:left="720" w:hanging="360"/>
      </w:pPr>
      <w:rPr>
        <w:rFonts w:ascii="Cambria" w:eastAsiaTheme="minorEastAsia" w:hAnsi="Cambria"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182C1F"/>
    <w:multiLevelType w:val="hybridMultilevel"/>
    <w:tmpl w:val="A75E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0"/>
  </w:num>
  <w:num w:numId="4">
    <w:abstractNumId w:val="15"/>
  </w:num>
  <w:num w:numId="5">
    <w:abstractNumId w:val="14"/>
  </w:num>
  <w:num w:numId="6">
    <w:abstractNumId w:val="13"/>
  </w:num>
  <w:num w:numId="7">
    <w:abstractNumId w:val="9"/>
  </w:num>
  <w:num w:numId="8">
    <w:abstractNumId w:val="16"/>
  </w:num>
  <w:num w:numId="9">
    <w:abstractNumId w:val="12"/>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10"/>
  </w:num>
  <w:num w:numId="19">
    <w:abstractNumId w:val="17"/>
  </w:num>
  <w:num w:numId="20">
    <w:abstractNumId w:val="18"/>
  </w:num>
  <w:num w:numId="21">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c Klatt">
    <w15:presenceInfo w15:providerId="None" w15:userId="Vic Klatt"/>
  </w15:person>
  <w15:person w15:author="Jehan El-Gabri">
    <w15:presenceInfo w15:providerId="None" w15:userId="Jehan El-Gab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5F"/>
    <w:rsid w:val="00003E6C"/>
    <w:rsid w:val="00003E71"/>
    <w:rsid w:val="00017830"/>
    <w:rsid w:val="000245EF"/>
    <w:rsid w:val="00026181"/>
    <w:rsid w:val="00026D9C"/>
    <w:rsid w:val="00030D40"/>
    <w:rsid w:val="00030EB7"/>
    <w:rsid w:val="000400DD"/>
    <w:rsid w:val="00042AA5"/>
    <w:rsid w:val="000440A8"/>
    <w:rsid w:val="00044DDF"/>
    <w:rsid w:val="00044FBF"/>
    <w:rsid w:val="00046983"/>
    <w:rsid w:val="00050DC3"/>
    <w:rsid w:val="00053CBF"/>
    <w:rsid w:val="00054449"/>
    <w:rsid w:val="0005526E"/>
    <w:rsid w:val="00060BE1"/>
    <w:rsid w:val="0006205C"/>
    <w:rsid w:val="00067672"/>
    <w:rsid w:val="0007164F"/>
    <w:rsid w:val="00073F44"/>
    <w:rsid w:val="000760CC"/>
    <w:rsid w:val="000762AF"/>
    <w:rsid w:val="000779DF"/>
    <w:rsid w:val="00085485"/>
    <w:rsid w:val="00087C69"/>
    <w:rsid w:val="00092976"/>
    <w:rsid w:val="00093BE0"/>
    <w:rsid w:val="00095300"/>
    <w:rsid w:val="00095D4B"/>
    <w:rsid w:val="00095E43"/>
    <w:rsid w:val="00096606"/>
    <w:rsid w:val="000A241D"/>
    <w:rsid w:val="000A32E7"/>
    <w:rsid w:val="000B057B"/>
    <w:rsid w:val="000B120E"/>
    <w:rsid w:val="000C1520"/>
    <w:rsid w:val="000C2BF0"/>
    <w:rsid w:val="000C31C1"/>
    <w:rsid w:val="000D1A21"/>
    <w:rsid w:val="000D2282"/>
    <w:rsid w:val="000D4354"/>
    <w:rsid w:val="000D4793"/>
    <w:rsid w:val="000E4168"/>
    <w:rsid w:val="000E44FA"/>
    <w:rsid w:val="000F1F41"/>
    <w:rsid w:val="000F26C7"/>
    <w:rsid w:val="000F2FE2"/>
    <w:rsid w:val="001037A2"/>
    <w:rsid w:val="0010561C"/>
    <w:rsid w:val="001065A1"/>
    <w:rsid w:val="00110025"/>
    <w:rsid w:val="00111B55"/>
    <w:rsid w:val="00113134"/>
    <w:rsid w:val="00113DCC"/>
    <w:rsid w:val="00135E76"/>
    <w:rsid w:val="00135FE6"/>
    <w:rsid w:val="00141015"/>
    <w:rsid w:val="00146632"/>
    <w:rsid w:val="00146D1B"/>
    <w:rsid w:val="00147CA9"/>
    <w:rsid w:val="00156B72"/>
    <w:rsid w:val="00160132"/>
    <w:rsid w:val="001618AC"/>
    <w:rsid w:val="00162907"/>
    <w:rsid w:val="00162EC5"/>
    <w:rsid w:val="00165761"/>
    <w:rsid w:val="00165881"/>
    <w:rsid w:val="00170C96"/>
    <w:rsid w:val="00173511"/>
    <w:rsid w:val="00175FA6"/>
    <w:rsid w:val="00191A4E"/>
    <w:rsid w:val="001922E1"/>
    <w:rsid w:val="00192696"/>
    <w:rsid w:val="001955ED"/>
    <w:rsid w:val="001A2AF1"/>
    <w:rsid w:val="001A63EF"/>
    <w:rsid w:val="001A7307"/>
    <w:rsid w:val="001A7B74"/>
    <w:rsid w:val="001B00E3"/>
    <w:rsid w:val="001B0704"/>
    <w:rsid w:val="001B2956"/>
    <w:rsid w:val="001B43BB"/>
    <w:rsid w:val="001B47BD"/>
    <w:rsid w:val="001B4945"/>
    <w:rsid w:val="001B7E4E"/>
    <w:rsid w:val="001C0771"/>
    <w:rsid w:val="001C2061"/>
    <w:rsid w:val="001E0508"/>
    <w:rsid w:val="001E31D4"/>
    <w:rsid w:val="001E3C2B"/>
    <w:rsid w:val="001E53C3"/>
    <w:rsid w:val="001E5789"/>
    <w:rsid w:val="001E7A6F"/>
    <w:rsid w:val="001F14A3"/>
    <w:rsid w:val="002003B6"/>
    <w:rsid w:val="00201F82"/>
    <w:rsid w:val="00204F53"/>
    <w:rsid w:val="00205AAC"/>
    <w:rsid w:val="00205E01"/>
    <w:rsid w:val="002060E0"/>
    <w:rsid w:val="00210B83"/>
    <w:rsid w:val="0021126E"/>
    <w:rsid w:val="002123EF"/>
    <w:rsid w:val="00216264"/>
    <w:rsid w:val="0022046E"/>
    <w:rsid w:val="0022094A"/>
    <w:rsid w:val="0022147F"/>
    <w:rsid w:val="00222C88"/>
    <w:rsid w:val="00223E40"/>
    <w:rsid w:val="002256BA"/>
    <w:rsid w:val="00240A10"/>
    <w:rsid w:val="00240D64"/>
    <w:rsid w:val="00243A1B"/>
    <w:rsid w:val="002440AF"/>
    <w:rsid w:val="002509AA"/>
    <w:rsid w:val="00253F34"/>
    <w:rsid w:val="00261B52"/>
    <w:rsid w:val="00261D04"/>
    <w:rsid w:val="00263D2C"/>
    <w:rsid w:val="00267046"/>
    <w:rsid w:val="0027193D"/>
    <w:rsid w:val="00272B42"/>
    <w:rsid w:val="0027669D"/>
    <w:rsid w:val="002777EA"/>
    <w:rsid w:val="002804EC"/>
    <w:rsid w:val="00282B6A"/>
    <w:rsid w:val="0028376F"/>
    <w:rsid w:val="00290194"/>
    <w:rsid w:val="002918C0"/>
    <w:rsid w:val="00292C0C"/>
    <w:rsid w:val="00295947"/>
    <w:rsid w:val="002A7E88"/>
    <w:rsid w:val="002B24AF"/>
    <w:rsid w:val="002B44CA"/>
    <w:rsid w:val="002B461D"/>
    <w:rsid w:val="002B5873"/>
    <w:rsid w:val="002C1F00"/>
    <w:rsid w:val="002C5410"/>
    <w:rsid w:val="002C543C"/>
    <w:rsid w:val="002C7AF0"/>
    <w:rsid w:val="002D7914"/>
    <w:rsid w:val="002E0552"/>
    <w:rsid w:val="002E3648"/>
    <w:rsid w:val="002E4803"/>
    <w:rsid w:val="003017BB"/>
    <w:rsid w:val="00302629"/>
    <w:rsid w:val="003051CC"/>
    <w:rsid w:val="003106B7"/>
    <w:rsid w:val="003131E7"/>
    <w:rsid w:val="0032052D"/>
    <w:rsid w:val="00323FF1"/>
    <w:rsid w:val="003273C7"/>
    <w:rsid w:val="00361BB9"/>
    <w:rsid w:val="0036575B"/>
    <w:rsid w:val="0036648E"/>
    <w:rsid w:val="00366B82"/>
    <w:rsid w:val="0037465F"/>
    <w:rsid w:val="00375428"/>
    <w:rsid w:val="00375D36"/>
    <w:rsid w:val="003761F0"/>
    <w:rsid w:val="00380440"/>
    <w:rsid w:val="00381BD2"/>
    <w:rsid w:val="003862D3"/>
    <w:rsid w:val="003909AF"/>
    <w:rsid w:val="003943DE"/>
    <w:rsid w:val="00397983"/>
    <w:rsid w:val="003B0689"/>
    <w:rsid w:val="003B264D"/>
    <w:rsid w:val="003B38BF"/>
    <w:rsid w:val="003B5C11"/>
    <w:rsid w:val="003C209E"/>
    <w:rsid w:val="003C22EF"/>
    <w:rsid w:val="003D4EF0"/>
    <w:rsid w:val="003E66BD"/>
    <w:rsid w:val="004053E9"/>
    <w:rsid w:val="00407E17"/>
    <w:rsid w:val="004115DC"/>
    <w:rsid w:val="0041171E"/>
    <w:rsid w:val="00417AE9"/>
    <w:rsid w:val="00417BD5"/>
    <w:rsid w:val="00421808"/>
    <w:rsid w:val="00423687"/>
    <w:rsid w:val="00433224"/>
    <w:rsid w:val="00433D1B"/>
    <w:rsid w:val="00435412"/>
    <w:rsid w:val="00436E88"/>
    <w:rsid w:val="0044005E"/>
    <w:rsid w:val="00441C39"/>
    <w:rsid w:val="004427D7"/>
    <w:rsid w:val="0044310C"/>
    <w:rsid w:val="00444FD1"/>
    <w:rsid w:val="004502B2"/>
    <w:rsid w:val="004504C6"/>
    <w:rsid w:val="0045059A"/>
    <w:rsid w:val="004512FE"/>
    <w:rsid w:val="004567FB"/>
    <w:rsid w:val="00457454"/>
    <w:rsid w:val="00465B02"/>
    <w:rsid w:val="00465F92"/>
    <w:rsid w:val="00482F3D"/>
    <w:rsid w:val="00484892"/>
    <w:rsid w:val="004873A1"/>
    <w:rsid w:val="0048779E"/>
    <w:rsid w:val="004877C6"/>
    <w:rsid w:val="00492B04"/>
    <w:rsid w:val="00493188"/>
    <w:rsid w:val="004948CA"/>
    <w:rsid w:val="004969CC"/>
    <w:rsid w:val="004970D8"/>
    <w:rsid w:val="00497D45"/>
    <w:rsid w:val="004A0480"/>
    <w:rsid w:val="004A3379"/>
    <w:rsid w:val="004A4802"/>
    <w:rsid w:val="004A5883"/>
    <w:rsid w:val="004A5CC8"/>
    <w:rsid w:val="004B2C06"/>
    <w:rsid w:val="004B3B4B"/>
    <w:rsid w:val="004B4CB0"/>
    <w:rsid w:val="004B5CBB"/>
    <w:rsid w:val="004C5097"/>
    <w:rsid w:val="004D2BDB"/>
    <w:rsid w:val="004D50BE"/>
    <w:rsid w:val="004D5B69"/>
    <w:rsid w:val="004D79A3"/>
    <w:rsid w:val="004E2194"/>
    <w:rsid w:val="004E2C29"/>
    <w:rsid w:val="004F2161"/>
    <w:rsid w:val="004F7DF9"/>
    <w:rsid w:val="004F7F7E"/>
    <w:rsid w:val="005014C8"/>
    <w:rsid w:val="00505E63"/>
    <w:rsid w:val="0051370F"/>
    <w:rsid w:val="00516AC0"/>
    <w:rsid w:val="0052478E"/>
    <w:rsid w:val="00525927"/>
    <w:rsid w:val="00526BB7"/>
    <w:rsid w:val="005315B6"/>
    <w:rsid w:val="00535D17"/>
    <w:rsid w:val="00536930"/>
    <w:rsid w:val="00536A0E"/>
    <w:rsid w:val="00537F90"/>
    <w:rsid w:val="00540BF4"/>
    <w:rsid w:val="005424E0"/>
    <w:rsid w:val="00542507"/>
    <w:rsid w:val="005445BF"/>
    <w:rsid w:val="00544670"/>
    <w:rsid w:val="005452EC"/>
    <w:rsid w:val="00547382"/>
    <w:rsid w:val="0055103E"/>
    <w:rsid w:val="00553CE1"/>
    <w:rsid w:val="005546D2"/>
    <w:rsid w:val="005547BD"/>
    <w:rsid w:val="00557B3E"/>
    <w:rsid w:val="00557C88"/>
    <w:rsid w:val="0056658B"/>
    <w:rsid w:val="00567694"/>
    <w:rsid w:val="00570856"/>
    <w:rsid w:val="005708AA"/>
    <w:rsid w:val="00572B07"/>
    <w:rsid w:val="00580D0C"/>
    <w:rsid w:val="00592AD7"/>
    <w:rsid w:val="00594556"/>
    <w:rsid w:val="0059509F"/>
    <w:rsid w:val="00596839"/>
    <w:rsid w:val="00597E50"/>
    <w:rsid w:val="005A09A3"/>
    <w:rsid w:val="005A75F9"/>
    <w:rsid w:val="005B1523"/>
    <w:rsid w:val="005B157A"/>
    <w:rsid w:val="005B20A9"/>
    <w:rsid w:val="005B4356"/>
    <w:rsid w:val="005B5616"/>
    <w:rsid w:val="005B5C5B"/>
    <w:rsid w:val="005B665F"/>
    <w:rsid w:val="005B679E"/>
    <w:rsid w:val="005C2066"/>
    <w:rsid w:val="005C740F"/>
    <w:rsid w:val="005D0F91"/>
    <w:rsid w:val="005D4203"/>
    <w:rsid w:val="005D47F3"/>
    <w:rsid w:val="005D6709"/>
    <w:rsid w:val="005E1B62"/>
    <w:rsid w:val="005F0310"/>
    <w:rsid w:val="005F2B55"/>
    <w:rsid w:val="00600FF8"/>
    <w:rsid w:val="006019C4"/>
    <w:rsid w:val="006032B6"/>
    <w:rsid w:val="006156A6"/>
    <w:rsid w:val="00621DA2"/>
    <w:rsid w:val="00635BCF"/>
    <w:rsid w:val="00637DE2"/>
    <w:rsid w:val="00644A98"/>
    <w:rsid w:val="00652704"/>
    <w:rsid w:val="006535D7"/>
    <w:rsid w:val="00653DED"/>
    <w:rsid w:val="006550EE"/>
    <w:rsid w:val="00655114"/>
    <w:rsid w:val="00660358"/>
    <w:rsid w:val="006626FB"/>
    <w:rsid w:val="006632B4"/>
    <w:rsid w:val="006639B2"/>
    <w:rsid w:val="00664EE2"/>
    <w:rsid w:val="0066664D"/>
    <w:rsid w:val="00670477"/>
    <w:rsid w:val="00671AD8"/>
    <w:rsid w:val="00671B81"/>
    <w:rsid w:val="00673212"/>
    <w:rsid w:val="00673C21"/>
    <w:rsid w:val="0067503B"/>
    <w:rsid w:val="00676E51"/>
    <w:rsid w:val="0068457B"/>
    <w:rsid w:val="00686592"/>
    <w:rsid w:val="006909A3"/>
    <w:rsid w:val="00696ABF"/>
    <w:rsid w:val="006A0E13"/>
    <w:rsid w:val="006A1892"/>
    <w:rsid w:val="006A3FF8"/>
    <w:rsid w:val="006A41A9"/>
    <w:rsid w:val="006A435F"/>
    <w:rsid w:val="006A54CB"/>
    <w:rsid w:val="006B164D"/>
    <w:rsid w:val="006B2064"/>
    <w:rsid w:val="006B3283"/>
    <w:rsid w:val="006B4EC3"/>
    <w:rsid w:val="006C06FC"/>
    <w:rsid w:val="006C1381"/>
    <w:rsid w:val="006C3891"/>
    <w:rsid w:val="006C69BF"/>
    <w:rsid w:val="006C778A"/>
    <w:rsid w:val="006C7F5C"/>
    <w:rsid w:val="006D2210"/>
    <w:rsid w:val="006D3CD9"/>
    <w:rsid w:val="006E3A2A"/>
    <w:rsid w:val="006E3E35"/>
    <w:rsid w:val="006E54CA"/>
    <w:rsid w:val="006F2AC6"/>
    <w:rsid w:val="007012C4"/>
    <w:rsid w:val="007072FC"/>
    <w:rsid w:val="007075A2"/>
    <w:rsid w:val="007155B8"/>
    <w:rsid w:val="007223C0"/>
    <w:rsid w:val="00724646"/>
    <w:rsid w:val="007246D6"/>
    <w:rsid w:val="00732FBF"/>
    <w:rsid w:val="00734BAE"/>
    <w:rsid w:val="00737A69"/>
    <w:rsid w:val="00740E45"/>
    <w:rsid w:val="00747C4F"/>
    <w:rsid w:val="00750662"/>
    <w:rsid w:val="00754218"/>
    <w:rsid w:val="0075433C"/>
    <w:rsid w:val="00757A45"/>
    <w:rsid w:val="0076094D"/>
    <w:rsid w:val="0076187E"/>
    <w:rsid w:val="007640EB"/>
    <w:rsid w:val="007652EA"/>
    <w:rsid w:val="00766A0E"/>
    <w:rsid w:val="00766E8F"/>
    <w:rsid w:val="00770F1A"/>
    <w:rsid w:val="00774451"/>
    <w:rsid w:val="00774537"/>
    <w:rsid w:val="00775B05"/>
    <w:rsid w:val="00776862"/>
    <w:rsid w:val="00785939"/>
    <w:rsid w:val="007A041E"/>
    <w:rsid w:val="007B1321"/>
    <w:rsid w:val="007C3BAA"/>
    <w:rsid w:val="007D17B5"/>
    <w:rsid w:val="007D18AA"/>
    <w:rsid w:val="007D21D9"/>
    <w:rsid w:val="007D32B3"/>
    <w:rsid w:val="007D3D72"/>
    <w:rsid w:val="007D5D4D"/>
    <w:rsid w:val="007D6036"/>
    <w:rsid w:val="007D7F1F"/>
    <w:rsid w:val="007E0283"/>
    <w:rsid w:val="007E0D6E"/>
    <w:rsid w:val="007E21BE"/>
    <w:rsid w:val="007E43D0"/>
    <w:rsid w:val="007E54DC"/>
    <w:rsid w:val="007F74C2"/>
    <w:rsid w:val="007F75A2"/>
    <w:rsid w:val="0080050A"/>
    <w:rsid w:val="008009E8"/>
    <w:rsid w:val="0080397B"/>
    <w:rsid w:val="008075B5"/>
    <w:rsid w:val="00814432"/>
    <w:rsid w:val="00814527"/>
    <w:rsid w:val="008164FC"/>
    <w:rsid w:val="00817BAB"/>
    <w:rsid w:val="00821EDD"/>
    <w:rsid w:val="00824EA2"/>
    <w:rsid w:val="00832808"/>
    <w:rsid w:val="008334B8"/>
    <w:rsid w:val="00833D5C"/>
    <w:rsid w:val="00845B93"/>
    <w:rsid w:val="008479F0"/>
    <w:rsid w:val="00850D42"/>
    <w:rsid w:val="008527CF"/>
    <w:rsid w:val="0085498C"/>
    <w:rsid w:val="00860D12"/>
    <w:rsid w:val="008623BB"/>
    <w:rsid w:val="0087547B"/>
    <w:rsid w:val="008762A7"/>
    <w:rsid w:val="0087666A"/>
    <w:rsid w:val="0088228D"/>
    <w:rsid w:val="00883B54"/>
    <w:rsid w:val="008910E3"/>
    <w:rsid w:val="008915D3"/>
    <w:rsid w:val="00894379"/>
    <w:rsid w:val="00895F63"/>
    <w:rsid w:val="008A0A4C"/>
    <w:rsid w:val="008A41C0"/>
    <w:rsid w:val="008A4D4D"/>
    <w:rsid w:val="008A76F7"/>
    <w:rsid w:val="008B1EEC"/>
    <w:rsid w:val="008B2B5D"/>
    <w:rsid w:val="008B3302"/>
    <w:rsid w:val="008C2BDA"/>
    <w:rsid w:val="008C3BC3"/>
    <w:rsid w:val="008C3D69"/>
    <w:rsid w:val="008C463D"/>
    <w:rsid w:val="008C7294"/>
    <w:rsid w:val="008D1681"/>
    <w:rsid w:val="008D6105"/>
    <w:rsid w:val="008D7DFC"/>
    <w:rsid w:val="008E11B6"/>
    <w:rsid w:val="008E1613"/>
    <w:rsid w:val="008E70C9"/>
    <w:rsid w:val="008F5998"/>
    <w:rsid w:val="008F649C"/>
    <w:rsid w:val="00901018"/>
    <w:rsid w:val="00901839"/>
    <w:rsid w:val="00905AAE"/>
    <w:rsid w:val="00910C07"/>
    <w:rsid w:val="0091566A"/>
    <w:rsid w:val="00916C7C"/>
    <w:rsid w:val="009179F5"/>
    <w:rsid w:val="00920415"/>
    <w:rsid w:val="00930476"/>
    <w:rsid w:val="00930736"/>
    <w:rsid w:val="009351D9"/>
    <w:rsid w:val="00935A89"/>
    <w:rsid w:val="00937DE7"/>
    <w:rsid w:val="00940429"/>
    <w:rsid w:val="009410A6"/>
    <w:rsid w:val="00943473"/>
    <w:rsid w:val="00947619"/>
    <w:rsid w:val="0095355C"/>
    <w:rsid w:val="009550FF"/>
    <w:rsid w:val="009570A5"/>
    <w:rsid w:val="00960FB6"/>
    <w:rsid w:val="00972C97"/>
    <w:rsid w:val="009738F2"/>
    <w:rsid w:val="00976441"/>
    <w:rsid w:val="00976E84"/>
    <w:rsid w:val="009823CC"/>
    <w:rsid w:val="00987B64"/>
    <w:rsid w:val="00990B44"/>
    <w:rsid w:val="0099432F"/>
    <w:rsid w:val="00994714"/>
    <w:rsid w:val="009A2D9E"/>
    <w:rsid w:val="009A555E"/>
    <w:rsid w:val="009A6687"/>
    <w:rsid w:val="009B0BB8"/>
    <w:rsid w:val="009C4D4F"/>
    <w:rsid w:val="009C5E52"/>
    <w:rsid w:val="009C61C1"/>
    <w:rsid w:val="009D0A6D"/>
    <w:rsid w:val="009D1579"/>
    <w:rsid w:val="009D3126"/>
    <w:rsid w:val="009D31EC"/>
    <w:rsid w:val="009E04CE"/>
    <w:rsid w:val="009E1E28"/>
    <w:rsid w:val="009E1F77"/>
    <w:rsid w:val="009E50C7"/>
    <w:rsid w:val="009E77CF"/>
    <w:rsid w:val="009F15F6"/>
    <w:rsid w:val="009F6D81"/>
    <w:rsid w:val="009F73D0"/>
    <w:rsid w:val="009F742C"/>
    <w:rsid w:val="00A02D46"/>
    <w:rsid w:val="00A047B9"/>
    <w:rsid w:val="00A05002"/>
    <w:rsid w:val="00A06254"/>
    <w:rsid w:val="00A16651"/>
    <w:rsid w:val="00A205B0"/>
    <w:rsid w:val="00A20726"/>
    <w:rsid w:val="00A21366"/>
    <w:rsid w:val="00A2605F"/>
    <w:rsid w:val="00A262AA"/>
    <w:rsid w:val="00A2664C"/>
    <w:rsid w:val="00A30938"/>
    <w:rsid w:val="00A30A14"/>
    <w:rsid w:val="00A310D6"/>
    <w:rsid w:val="00A3354F"/>
    <w:rsid w:val="00A3477E"/>
    <w:rsid w:val="00A34972"/>
    <w:rsid w:val="00A349B7"/>
    <w:rsid w:val="00A36EEA"/>
    <w:rsid w:val="00A42FE4"/>
    <w:rsid w:val="00A434FD"/>
    <w:rsid w:val="00A4507C"/>
    <w:rsid w:val="00A53D00"/>
    <w:rsid w:val="00A61FBB"/>
    <w:rsid w:val="00A6257E"/>
    <w:rsid w:val="00A64424"/>
    <w:rsid w:val="00A66D08"/>
    <w:rsid w:val="00A67550"/>
    <w:rsid w:val="00A7116E"/>
    <w:rsid w:val="00A747CE"/>
    <w:rsid w:val="00A74D6D"/>
    <w:rsid w:val="00A7515D"/>
    <w:rsid w:val="00A903AE"/>
    <w:rsid w:val="00A9073B"/>
    <w:rsid w:val="00A90BE0"/>
    <w:rsid w:val="00A90D06"/>
    <w:rsid w:val="00A94559"/>
    <w:rsid w:val="00AA6A87"/>
    <w:rsid w:val="00AB1EEF"/>
    <w:rsid w:val="00AB21CF"/>
    <w:rsid w:val="00AB4D80"/>
    <w:rsid w:val="00AB7D2D"/>
    <w:rsid w:val="00AC034A"/>
    <w:rsid w:val="00AC5704"/>
    <w:rsid w:val="00AE5F5C"/>
    <w:rsid w:val="00AF22EA"/>
    <w:rsid w:val="00AF566B"/>
    <w:rsid w:val="00B05382"/>
    <w:rsid w:val="00B227AE"/>
    <w:rsid w:val="00B2359C"/>
    <w:rsid w:val="00B33037"/>
    <w:rsid w:val="00B37B89"/>
    <w:rsid w:val="00B5150D"/>
    <w:rsid w:val="00B55DFD"/>
    <w:rsid w:val="00B56B04"/>
    <w:rsid w:val="00B56D00"/>
    <w:rsid w:val="00B57616"/>
    <w:rsid w:val="00B71189"/>
    <w:rsid w:val="00B82CFD"/>
    <w:rsid w:val="00B85B92"/>
    <w:rsid w:val="00B9164B"/>
    <w:rsid w:val="00B91D6B"/>
    <w:rsid w:val="00B9580C"/>
    <w:rsid w:val="00BA02CD"/>
    <w:rsid w:val="00BA287F"/>
    <w:rsid w:val="00BA6D42"/>
    <w:rsid w:val="00BB079B"/>
    <w:rsid w:val="00BB24A3"/>
    <w:rsid w:val="00BB665F"/>
    <w:rsid w:val="00BC0EB1"/>
    <w:rsid w:val="00BC5A10"/>
    <w:rsid w:val="00BD4684"/>
    <w:rsid w:val="00BD4DAC"/>
    <w:rsid w:val="00BD711C"/>
    <w:rsid w:val="00BE01F1"/>
    <w:rsid w:val="00BE2558"/>
    <w:rsid w:val="00BE2A3E"/>
    <w:rsid w:val="00BE41A7"/>
    <w:rsid w:val="00BE62D9"/>
    <w:rsid w:val="00BF169B"/>
    <w:rsid w:val="00BF30DF"/>
    <w:rsid w:val="00BF3274"/>
    <w:rsid w:val="00BF349F"/>
    <w:rsid w:val="00C10AE4"/>
    <w:rsid w:val="00C11B12"/>
    <w:rsid w:val="00C143F5"/>
    <w:rsid w:val="00C178D3"/>
    <w:rsid w:val="00C267E7"/>
    <w:rsid w:val="00C36A86"/>
    <w:rsid w:val="00C37D72"/>
    <w:rsid w:val="00C4639E"/>
    <w:rsid w:val="00C47762"/>
    <w:rsid w:val="00C5210A"/>
    <w:rsid w:val="00C52653"/>
    <w:rsid w:val="00C545EA"/>
    <w:rsid w:val="00C56ADF"/>
    <w:rsid w:val="00C60BCC"/>
    <w:rsid w:val="00C660B6"/>
    <w:rsid w:val="00C7141D"/>
    <w:rsid w:val="00C75450"/>
    <w:rsid w:val="00C8084A"/>
    <w:rsid w:val="00C82C3F"/>
    <w:rsid w:val="00C84D76"/>
    <w:rsid w:val="00C91FDD"/>
    <w:rsid w:val="00C957D5"/>
    <w:rsid w:val="00C97F3E"/>
    <w:rsid w:val="00CA6A9E"/>
    <w:rsid w:val="00CA6BD3"/>
    <w:rsid w:val="00CA6FC4"/>
    <w:rsid w:val="00CB10E1"/>
    <w:rsid w:val="00CB5175"/>
    <w:rsid w:val="00CB6B50"/>
    <w:rsid w:val="00CC71F2"/>
    <w:rsid w:val="00CD1A5C"/>
    <w:rsid w:val="00CD4FB0"/>
    <w:rsid w:val="00CE09DD"/>
    <w:rsid w:val="00CE17EC"/>
    <w:rsid w:val="00CE2819"/>
    <w:rsid w:val="00CF0218"/>
    <w:rsid w:val="00CF6ED8"/>
    <w:rsid w:val="00D00D9C"/>
    <w:rsid w:val="00D01C36"/>
    <w:rsid w:val="00D03E06"/>
    <w:rsid w:val="00D04474"/>
    <w:rsid w:val="00D160DB"/>
    <w:rsid w:val="00D17DA4"/>
    <w:rsid w:val="00D22BFE"/>
    <w:rsid w:val="00D23A8D"/>
    <w:rsid w:val="00D24354"/>
    <w:rsid w:val="00D27C0F"/>
    <w:rsid w:val="00D30E9F"/>
    <w:rsid w:val="00D3211A"/>
    <w:rsid w:val="00D378A3"/>
    <w:rsid w:val="00D433CA"/>
    <w:rsid w:val="00D51D7B"/>
    <w:rsid w:val="00D54778"/>
    <w:rsid w:val="00D55DCA"/>
    <w:rsid w:val="00D56087"/>
    <w:rsid w:val="00D64103"/>
    <w:rsid w:val="00D64A83"/>
    <w:rsid w:val="00D71AAC"/>
    <w:rsid w:val="00D76177"/>
    <w:rsid w:val="00D7644A"/>
    <w:rsid w:val="00D765EB"/>
    <w:rsid w:val="00D76FBA"/>
    <w:rsid w:val="00D81443"/>
    <w:rsid w:val="00D817C8"/>
    <w:rsid w:val="00D84A3F"/>
    <w:rsid w:val="00D84D19"/>
    <w:rsid w:val="00D87CF0"/>
    <w:rsid w:val="00D915FA"/>
    <w:rsid w:val="00D93757"/>
    <w:rsid w:val="00D96106"/>
    <w:rsid w:val="00DA1477"/>
    <w:rsid w:val="00DA3A15"/>
    <w:rsid w:val="00DA3FB5"/>
    <w:rsid w:val="00DA6A39"/>
    <w:rsid w:val="00DB04E8"/>
    <w:rsid w:val="00DB215D"/>
    <w:rsid w:val="00DB62A9"/>
    <w:rsid w:val="00DB73FE"/>
    <w:rsid w:val="00DB7BED"/>
    <w:rsid w:val="00DC5A91"/>
    <w:rsid w:val="00DD2737"/>
    <w:rsid w:val="00DD3147"/>
    <w:rsid w:val="00DD555E"/>
    <w:rsid w:val="00DD581E"/>
    <w:rsid w:val="00DE3841"/>
    <w:rsid w:val="00DF63D1"/>
    <w:rsid w:val="00E0176A"/>
    <w:rsid w:val="00E07F6E"/>
    <w:rsid w:val="00E17927"/>
    <w:rsid w:val="00E20A56"/>
    <w:rsid w:val="00E23BEC"/>
    <w:rsid w:val="00E25213"/>
    <w:rsid w:val="00E25320"/>
    <w:rsid w:val="00E258EE"/>
    <w:rsid w:val="00E27BEA"/>
    <w:rsid w:val="00E301EC"/>
    <w:rsid w:val="00E32A95"/>
    <w:rsid w:val="00E32B0C"/>
    <w:rsid w:val="00E32BB0"/>
    <w:rsid w:val="00E40DDB"/>
    <w:rsid w:val="00E46130"/>
    <w:rsid w:val="00E527EF"/>
    <w:rsid w:val="00E53C26"/>
    <w:rsid w:val="00E53D72"/>
    <w:rsid w:val="00E563C9"/>
    <w:rsid w:val="00E56B7A"/>
    <w:rsid w:val="00E64D13"/>
    <w:rsid w:val="00E67F93"/>
    <w:rsid w:val="00E70696"/>
    <w:rsid w:val="00E7502A"/>
    <w:rsid w:val="00E75510"/>
    <w:rsid w:val="00E77AE0"/>
    <w:rsid w:val="00E800CC"/>
    <w:rsid w:val="00E86677"/>
    <w:rsid w:val="00E92A42"/>
    <w:rsid w:val="00E96CC1"/>
    <w:rsid w:val="00EA2103"/>
    <w:rsid w:val="00EA23F7"/>
    <w:rsid w:val="00EA6FBE"/>
    <w:rsid w:val="00EB04E0"/>
    <w:rsid w:val="00EB383F"/>
    <w:rsid w:val="00EB4093"/>
    <w:rsid w:val="00EC0620"/>
    <w:rsid w:val="00EC185E"/>
    <w:rsid w:val="00EC40F4"/>
    <w:rsid w:val="00ED7EC5"/>
    <w:rsid w:val="00EE3DF6"/>
    <w:rsid w:val="00EE7627"/>
    <w:rsid w:val="00EE76FE"/>
    <w:rsid w:val="00EF0FD0"/>
    <w:rsid w:val="00EF162F"/>
    <w:rsid w:val="00F0005E"/>
    <w:rsid w:val="00F037F8"/>
    <w:rsid w:val="00F03C6B"/>
    <w:rsid w:val="00F03E90"/>
    <w:rsid w:val="00F05A01"/>
    <w:rsid w:val="00F071BC"/>
    <w:rsid w:val="00F10529"/>
    <w:rsid w:val="00F14805"/>
    <w:rsid w:val="00F16997"/>
    <w:rsid w:val="00F22F28"/>
    <w:rsid w:val="00F244F3"/>
    <w:rsid w:val="00F27445"/>
    <w:rsid w:val="00F30E8F"/>
    <w:rsid w:val="00F31634"/>
    <w:rsid w:val="00F42062"/>
    <w:rsid w:val="00F47B3A"/>
    <w:rsid w:val="00F54896"/>
    <w:rsid w:val="00F54C55"/>
    <w:rsid w:val="00F56576"/>
    <w:rsid w:val="00F57831"/>
    <w:rsid w:val="00F601AF"/>
    <w:rsid w:val="00F65FAD"/>
    <w:rsid w:val="00F6708A"/>
    <w:rsid w:val="00F7425F"/>
    <w:rsid w:val="00F80EFC"/>
    <w:rsid w:val="00F816C7"/>
    <w:rsid w:val="00F8730B"/>
    <w:rsid w:val="00F94AC1"/>
    <w:rsid w:val="00FA0C5F"/>
    <w:rsid w:val="00FA1F70"/>
    <w:rsid w:val="00FA6674"/>
    <w:rsid w:val="00FB04D5"/>
    <w:rsid w:val="00FB5739"/>
    <w:rsid w:val="00FC25AF"/>
    <w:rsid w:val="00FC2DB6"/>
    <w:rsid w:val="00FC2E77"/>
    <w:rsid w:val="00FD0AE9"/>
    <w:rsid w:val="00FD2372"/>
    <w:rsid w:val="00FD56BB"/>
    <w:rsid w:val="00FD6CFA"/>
    <w:rsid w:val="00FF1AFE"/>
    <w:rsid w:val="00FF3D18"/>
    <w:rsid w:val="00FF54CB"/>
    <w:rsid w:val="00FF7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C5F"/>
    <w:pPr>
      <w:ind w:left="720"/>
      <w:contextualSpacing/>
    </w:pPr>
  </w:style>
  <w:style w:type="paragraph" w:styleId="FootnoteText">
    <w:name w:val="footnote text"/>
    <w:basedOn w:val="Normal"/>
    <w:link w:val="FootnoteTextChar"/>
    <w:uiPriority w:val="99"/>
    <w:unhideWhenUsed/>
    <w:rsid w:val="00302629"/>
    <w:rPr>
      <w:rFonts w:ascii="Times New Roman" w:eastAsia="Cambria" w:hAnsi="Times New Roman" w:cs="Times New Roman"/>
      <w:lang w:val="x-none" w:eastAsia="x-none"/>
    </w:rPr>
  </w:style>
  <w:style w:type="character" w:customStyle="1" w:styleId="FootnoteTextChar">
    <w:name w:val="Footnote Text Char"/>
    <w:basedOn w:val="DefaultParagraphFont"/>
    <w:link w:val="FootnoteText"/>
    <w:uiPriority w:val="99"/>
    <w:rsid w:val="00302629"/>
    <w:rPr>
      <w:rFonts w:ascii="Times New Roman" w:eastAsia="Cambria" w:hAnsi="Times New Roman" w:cs="Times New Roman"/>
      <w:lang w:val="x-none" w:eastAsia="x-none"/>
    </w:rPr>
  </w:style>
  <w:style w:type="character" w:styleId="FootnoteReference">
    <w:name w:val="footnote reference"/>
    <w:uiPriority w:val="99"/>
    <w:unhideWhenUsed/>
    <w:rsid w:val="00302629"/>
    <w:rPr>
      <w:vertAlign w:val="superscript"/>
    </w:rPr>
  </w:style>
  <w:style w:type="paragraph" w:styleId="BalloonText">
    <w:name w:val="Balloon Text"/>
    <w:basedOn w:val="Normal"/>
    <w:link w:val="BalloonTextChar"/>
    <w:uiPriority w:val="99"/>
    <w:semiHidden/>
    <w:unhideWhenUsed/>
    <w:rsid w:val="001E53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53C3"/>
    <w:rPr>
      <w:rFonts w:ascii="Lucida Grande" w:hAnsi="Lucida Grande" w:cs="Lucida Grande"/>
      <w:sz w:val="18"/>
      <w:szCs w:val="18"/>
    </w:rPr>
  </w:style>
  <w:style w:type="paragraph" w:styleId="NormalWeb">
    <w:name w:val="Normal (Web)"/>
    <w:basedOn w:val="Normal"/>
    <w:uiPriority w:val="99"/>
    <w:semiHidden/>
    <w:unhideWhenUsed/>
    <w:rsid w:val="00380440"/>
    <w:pPr>
      <w:spacing w:before="100" w:beforeAutospacing="1" w:after="100" w:afterAutospacing="1"/>
    </w:pPr>
    <w:rPr>
      <w:rFonts w:ascii="Times" w:hAnsi="Times" w:cs="Times New Roman"/>
      <w:sz w:val="20"/>
      <w:szCs w:val="20"/>
    </w:rPr>
  </w:style>
  <w:style w:type="paragraph" w:styleId="NoSpacing">
    <w:name w:val="No Spacing"/>
    <w:uiPriority w:val="1"/>
    <w:qFormat/>
    <w:rsid w:val="00380440"/>
  </w:style>
  <w:style w:type="paragraph" w:styleId="Header">
    <w:name w:val="header"/>
    <w:basedOn w:val="Normal"/>
    <w:link w:val="HeaderChar"/>
    <w:uiPriority w:val="99"/>
    <w:unhideWhenUsed/>
    <w:rsid w:val="000D4354"/>
    <w:pPr>
      <w:tabs>
        <w:tab w:val="center" w:pos="4320"/>
        <w:tab w:val="right" w:pos="8640"/>
      </w:tabs>
    </w:pPr>
  </w:style>
  <w:style w:type="character" w:customStyle="1" w:styleId="HeaderChar">
    <w:name w:val="Header Char"/>
    <w:basedOn w:val="DefaultParagraphFont"/>
    <w:link w:val="Header"/>
    <w:uiPriority w:val="99"/>
    <w:rsid w:val="000D4354"/>
  </w:style>
  <w:style w:type="paragraph" w:styleId="Footer">
    <w:name w:val="footer"/>
    <w:basedOn w:val="Normal"/>
    <w:link w:val="FooterChar"/>
    <w:uiPriority w:val="99"/>
    <w:unhideWhenUsed/>
    <w:rsid w:val="000D4354"/>
    <w:pPr>
      <w:tabs>
        <w:tab w:val="center" w:pos="4320"/>
        <w:tab w:val="right" w:pos="8640"/>
      </w:tabs>
    </w:pPr>
  </w:style>
  <w:style w:type="character" w:customStyle="1" w:styleId="FooterChar">
    <w:name w:val="Footer Char"/>
    <w:basedOn w:val="DefaultParagraphFont"/>
    <w:link w:val="Footer"/>
    <w:uiPriority w:val="99"/>
    <w:rsid w:val="000D4354"/>
  </w:style>
  <w:style w:type="character" w:styleId="CommentReference">
    <w:name w:val="annotation reference"/>
    <w:basedOn w:val="DefaultParagraphFont"/>
    <w:uiPriority w:val="99"/>
    <w:semiHidden/>
    <w:unhideWhenUsed/>
    <w:rsid w:val="003B0689"/>
    <w:rPr>
      <w:sz w:val="16"/>
      <w:szCs w:val="16"/>
    </w:rPr>
  </w:style>
  <w:style w:type="paragraph" w:styleId="CommentText">
    <w:name w:val="annotation text"/>
    <w:basedOn w:val="Normal"/>
    <w:link w:val="CommentTextChar"/>
    <w:uiPriority w:val="99"/>
    <w:semiHidden/>
    <w:unhideWhenUsed/>
    <w:rsid w:val="003B0689"/>
    <w:rPr>
      <w:sz w:val="20"/>
      <w:szCs w:val="20"/>
    </w:rPr>
  </w:style>
  <w:style w:type="character" w:customStyle="1" w:styleId="CommentTextChar">
    <w:name w:val="Comment Text Char"/>
    <w:basedOn w:val="DefaultParagraphFont"/>
    <w:link w:val="CommentText"/>
    <w:uiPriority w:val="99"/>
    <w:semiHidden/>
    <w:rsid w:val="003B0689"/>
    <w:rPr>
      <w:sz w:val="20"/>
      <w:szCs w:val="20"/>
    </w:rPr>
  </w:style>
  <w:style w:type="paragraph" w:styleId="CommentSubject">
    <w:name w:val="annotation subject"/>
    <w:basedOn w:val="CommentText"/>
    <w:next w:val="CommentText"/>
    <w:link w:val="CommentSubjectChar"/>
    <w:uiPriority w:val="99"/>
    <w:semiHidden/>
    <w:unhideWhenUsed/>
    <w:rsid w:val="003B0689"/>
    <w:rPr>
      <w:b/>
      <w:bCs/>
    </w:rPr>
  </w:style>
  <w:style w:type="character" w:customStyle="1" w:styleId="CommentSubjectChar">
    <w:name w:val="Comment Subject Char"/>
    <w:basedOn w:val="CommentTextChar"/>
    <w:link w:val="CommentSubject"/>
    <w:uiPriority w:val="99"/>
    <w:semiHidden/>
    <w:rsid w:val="003B0689"/>
    <w:rPr>
      <w:b/>
      <w:bCs/>
      <w:sz w:val="20"/>
      <w:szCs w:val="20"/>
    </w:rPr>
  </w:style>
  <w:style w:type="character" w:styleId="Hyperlink">
    <w:name w:val="Hyperlink"/>
    <w:basedOn w:val="DefaultParagraphFont"/>
    <w:uiPriority w:val="99"/>
    <w:unhideWhenUsed/>
    <w:rsid w:val="00497D45"/>
    <w:rPr>
      <w:color w:val="0000FF" w:themeColor="hyperlink"/>
      <w:u w:val="single"/>
    </w:rPr>
  </w:style>
  <w:style w:type="character" w:styleId="FollowedHyperlink">
    <w:name w:val="FollowedHyperlink"/>
    <w:basedOn w:val="DefaultParagraphFont"/>
    <w:uiPriority w:val="99"/>
    <w:semiHidden/>
    <w:unhideWhenUsed/>
    <w:rsid w:val="00407E17"/>
    <w:rPr>
      <w:color w:val="800080" w:themeColor="followedHyperlink"/>
      <w:u w:val="single"/>
    </w:rPr>
  </w:style>
  <w:style w:type="character" w:styleId="PageNumber">
    <w:name w:val="page number"/>
    <w:basedOn w:val="DefaultParagraphFont"/>
    <w:uiPriority w:val="99"/>
    <w:semiHidden/>
    <w:unhideWhenUsed/>
    <w:rsid w:val="007D7F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C5F"/>
    <w:pPr>
      <w:ind w:left="720"/>
      <w:contextualSpacing/>
    </w:pPr>
  </w:style>
  <w:style w:type="paragraph" w:styleId="FootnoteText">
    <w:name w:val="footnote text"/>
    <w:basedOn w:val="Normal"/>
    <w:link w:val="FootnoteTextChar"/>
    <w:uiPriority w:val="99"/>
    <w:unhideWhenUsed/>
    <w:rsid w:val="00302629"/>
    <w:rPr>
      <w:rFonts w:ascii="Times New Roman" w:eastAsia="Cambria" w:hAnsi="Times New Roman" w:cs="Times New Roman"/>
      <w:lang w:val="x-none" w:eastAsia="x-none"/>
    </w:rPr>
  </w:style>
  <w:style w:type="character" w:customStyle="1" w:styleId="FootnoteTextChar">
    <w:name w:val="Footnote Text Char"/>
    <w:basedOn w:val="DefaultParagraphFont"/>
    <w:link w:val="FootnoteText"/>
    <w:uiPriority w:val="99"/>
    <w:rsid w:val="00302629"/>
    <w:rPr>
      <w:rFonts w:ascii="Times New Roman" w:eastAsia="Cambria" w:hAnsi="Times New Roman" w:cs="Times New Roman"/>
      <w:lang w:val="x-none" w:eastAsia="x-none"/>
    </w:rPr>
  </w:style>
  <w:style w:type="character" w:styleId="FootnoteReference">
    <w:name w:val="footnote reference"/>
    <w:uiPriority w:val="99"/>
    <w:unhideWhenUsed/>
    <w:rsid w:val="00302629"/>
    <w:rPr>
      <w:vertAlign w:val="superscript"/>
    </w:rPr>
  </w:style>
  <w:style w:type="paragraph" w:styleId="BalloonText">
    <w:name w:val="Balloon Text"/>
    <w:basedOn w:val="Normal"/>
    <w:link w:val="BalloonTextChar"/>
    <w:uiPriority w:val="99"/>
    <w:semiHidden/>
    <w:unhideWhenUsed/>
    <w:rsid w:val="001E53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53C3"/>
    <w:rPr>
      <w:rFonts w:ascii="Lucida Grande" w:hAnsi="Lucida Grande" w:cs="Lucida Grande"/>
      <w:sz w:val="18"/>
      <w:szCs w:val="18"/>
    </w:rPr>
  </w:style>
  <w:style w:type="paragraph" w:styleId="NormalWeb">
    <w:name w:val="Normal (Web)"/>
    <w:basedOn w:val="Normal"/>
    <w:uiPriority w:val="99"/>
    <w:semiHidden/>
    <w:unhideWhenUsed/>
    <w:rsid w:val="00380440"/>
    <w:pPr>
      <w:spacing w:before="100" w:beforeAutospacing="1" w:after="100" w:afterAutospacing="1"/>
    </w:pPr>
    <w:rPr>
      <w:rFonts w:ascii="Times" w:hAnsi="Times" w:cs="Times New Roman"/>
      <w:sz w:val="20"/>
      <w:szCs w:val="20"/>
    </w:rPr>
  </w:style>
  <w:style w:type="paragraph" w:styleId="NoSpacing">
    <w:name w:val="No Spacing"/>
    <w:uiPriority w:val="1"/>
    <w:qFormat/>
    <w:rsid w:val="00380440"/>
  </w:style>
  <w:style w:type="paragraph" w:styleId="Header">
    <w:name w:val="header"/>
    <w:basedOn w:val="Normal"/>
    <w:link w:val="HeaderChar"/>
    <w:uiPriority w:val="99"/>
    <w:unhideWhenUsed/>
    <w:rsid w:val="000D4354"/>
    <w:pPr>
      <w:tabs>
        <w:tab w:val="center" w:pos="4320"/>
        <w:tab w:val="right" w:pos="8640"/>
      </w:tabs>
    </w:pPr>
  </w:style>
  <w:style w:type="character" w:customStyle="1" w:styleId="HeaderChar">
    <w:name w:val="Header Char"/>
    <w:basedOn w:val="DefaultParagraphFont"/>
    <w:link w:val="Header"/>
    <w:uiPriority w:val="99"/>
    <w:rsid w:val="000D4354"/>
  </w:style>
  <w:style w:type="paragraph" w:styleId="Footer">
    <w:name w:val="footer"/>
    <w:basedOn w:val="Normal"/>
    <w:link w:val="FooterChar"/>
    <w:uiPriority w:val="99"/>
    <w:unhideWhenUsed/>
    <w:rsid w:val="000D4354"/>
    <w:pPr>
      <w:tabs>
        <w:tab w:val="center" w:pos="4320"/>
        <w:tab w:val="right" w:pos="8640"/>
      </w:tabs>
    </w:pPr>
  </w:style>
  <w:style w:type="character" w:customStyle="1" w:styleId="FooterChar">
    <w:name w:val="Footer Char"/>
    <w:basedOn w:val="DefaultParagraphFont"/>
    <w:link w:val="Footer"/>
    <w:uiPriority w:val="99"/>
    <w:rsid w:val="000D4354"/>
  </w:style>
  <w:style w:type="character" w:styleId="CommentReference">
    <w:name w:val="annotation reference"/>
    <w:basedOn w:val="DefaultParagraphFont"/>
    <w:uiPriority w:val="99"/>
    <w:semiHidden/>
    <w:unhideWhenUsed/>
    <w:rsid w:val="003B0689"/>
    <w:rPr>
      <w:sz w:val="16"/>
      <w:szCs w:val="16"/>
    </w:rPr>
  </w:style>
  <w:style w:type="paragraph" w:styleId="CommentText">
    <w:name w:val="annotation text"/>
    <w:basedOn w:val="Normal"/>
    <w:link w:val="CommentTextChar"/>
    <w:uiPriority w:val="99"/>
    <w:semiHidden/>
    <w:unhideWhenUsed/>
    <w:rsid w:val="003B0689"/>
    <w:rPr>
      <w:sz w:val="20"/>
      <w:szCs w:val="20"/>
    </w:rPr>
  </w:style>
  <w:style w:type="character" w:customStyle="1" w:styleId="CommentTextChar">
    <w:name w:val="Comment Text Char"/>
    <w:basedOn w:val="DefaultParagraphFont"/>
    <w:link w:val="CommentText"/>
    <w:uiPriority w:val="99"/>
    <w:semiHidden/>
    <w:rsid w:val="003B0689"/>
    <w:rPr>
      <w:sz w:val="20"/>
      <w:szCs w:val="20"/>
    </w:rPr>
  </w:style>
  <w:style w:type="paragraph" w:styleId="CommentSubject">
    <w:name w:val="annotation subject"/>
    <w:basedOn w:val="CommentText"/>
    <w:next w:val="CommentText"/>
    <w:link w:val="CommentSubjectChar"/>
    <w:uiPriority w:val="99"/>
    <w:semiHidden/>
    <w:unhideWhenUsed/>
    <w:rsid w:val="003B0689"/>
    <w:rPr>
      <w:b/>
      <w:bCs/>
    </w:rPr>
  </w:style>
  <w:style w:type="character" w:customStyle="1" w:styleId="CommentSubjectChar">
    <w:name w:val="Comment Subject Char"/>
    <w:basedOn w:val="CommentTextChar"/>
    <w:link w:val="CommentSubject"/>
    <w:uiPriority w:val="99"/>
    <w:semiHidden/>
    <w:rsid w:val="003B0689"/>
    <w:rPr>
      <w:b/>
      <w:bCs/>
      <w:sz w:val="20"/>
      <w:szCs w:val="20"/>
    </w:rPr>
  </w:style>
  <w:style w:type="character" w:styleId="Hyperlink">
    <w:name w:val="Hyperlink"/>
    <w:basedOn w:val="DefaultParagraphFont"/>
    <w:uiPriority w:val="99"/>
    <w:unhideWhenUsed/>
    <w:rsid w:val="00497D45"/>
    <w:rPr>
      <w:color w:val="0000FF" w:themeColor="hyperlink"/>
      <w:u w:val="single"/>
    </w:rPr>
  </w:style>
  <w:style w:type="character" w:styleId="FollowedHyperlink">
    <w:name w:val="FollowedHyperlink"/>
    <w:basedOn w:val="DefaultParagraphFont"/>
    <w:uiPriority w:val="99"/>
    <w:semiHidden/>
    <w:unhideWhenUsed/>
    <w:rsid w:val="00407E17"/>
    <w:rPr>
      <w:color w:val="800080" w:themeColor="followedHyperlink"/>
      <w:u w:val="single"/>
    </w:rPr>
  </w:style>
  <w:style w:type="character" w:styleId="PageNumber">
    <w:name w:val="page number"/>
    <w:basedOn w:val="DefaultParagraphFont"/>
    <w:uiPriority w:val="99"/>
    <w:semiHidden/>
    <w:unhideWhenUsed/>
    <w:rsid w:val="007D7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37859">
      <w:bodyDiv w:val="1"/>
      <w:marLeft w:val="0"/>
      <w:marRight w:val="0"/>
      <w:marTop w:val="0"/>
      <w:marBottom w:val="0"/>
      <w:divBdr>
        <w:top w:val="none" w:sz="0" w:space="0" w:color="auto"/>
        <w:left w:val="none" w:sz="0" w:space="0" w:color="auto"/>
        <w:bottom w:val="none" w:sz="0" w:space="0" w:color="auto"/>
        <w:right w:val="none" w:sz="0" w:space="0" w:color="auto"/>
      </w:divBdr>
      <w:divsChild>
        <w:div w:id="872959982">
          <w:marLeft w:val="0"/>
          <w:marRight w:val="0"/>
          <w:marTop w:val="0"/>
          <w:marBottom w:val="0"/>
          <w:divBdr>
            <w:top w:val="none" w:sz="0" w:space="0" w:color="auto"/>
            <w:left w:val="none" w:sz="0" w:space="0" w:color="auto"/>
            <w:bottom w:val="none" w:sz="0" w:space="0" w:color="auto"/>
            <w:right w:val="none" w:sz="0" w:space="0" w:color="auto"/>
          </w:divBdr>
          <w:divsChild>
            <w:div w:id="460726619">
              <w:marLeft w:val="0"/>
              <w:marRight w:val="0"/>
              <w:marTop w:val="0"/>
              <w:marBottom w:val="0"/>
              <w:divBdr>
                <w:top w:val="none" w:sz="0" w:space="0" w:color="auto"/>
                <w:left w:val="none" w:sz="0" w:space="0" w:color="auto"/>
                <w:bottom w:val="none" w:sz="0" w:space="0" w:color="auto"/>
                <w:right w:val="none" w:sz="0" w:space="0" w:color="auto"/>
              </w:divBdr>
              <w:divsChild>
                <w:div w:id="145560021">
                  <w:marLeft w:val="0"/>
                  <w:marRight w:val="0"/>
                  <w:marTop w:val="0"/>
                  <w:marBottom w:val="0"/>
                  <w:divBdr>
                    <w:top w:val="none" w:sz="0" w:space="0" w:color="auto"/>
                    <w:left w:val="none" w:sz="0" w:space="0" w:color="auto"/>
                    <w:bottom w:val="none" w:sz="0" w:space="0" w:color="auto"/>
                    <w:right w:val="none" w:sz="0" w:space="0" w:color="auto"/>
                  </w:divBdr>
                  <w:divsChild>
                    <w:div w:id="20983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997614">
      <w:bodyDiv w:val="1"/>
      <w:marLeft w:val="0"/>
      <w:marRight w:val="0"/>
      <w:marTop w:val="0"/>
      <w:marBottom w:val="0"/>
      <w:divBdr>
        <w:top w:val="none" w:sz="0" w:space="0" w:color="auto"/>
        <w:left w:val="none" w:sz="0" w:space="0" w:color="auto"/>
        <w:bottom w:val="none" w:sz="0" w:space="0" w:color="auto"/>
        <w:right w:val="none" w:sz="0" w:space="0" w:color="auto"/>
      </w:divBdr>
      <w:divsChild>
        <w:div w:id="231241347">
          <w:marLeft w:val="0"/>
          <w:marRight w:val="0"/>
          <w:marTop w:val="0"/>
          <w:marBottom w:val="0"/>
          <w:divBdr>
            <w:top w:val="none" w:sz="0" w:space="0" w:color="auto"/>
            <w:left w:val="none" w:sz="0" w:space="0" w:color="auto"/>
            <w:bottom w:val="none" w:sz="0" w:space="0" w:color="auto"/>
            <w:right w:val="none" w:sz="0" w:space="0" w:color="auto"/>
          </w:divBdr>
          <w:divsChild>
            <w:div w:id="503933653">
              <w:marLeft w:val="0"/>
              <w:marRight w:val="0"/>
              <w:marTop w:val="0"/>
              <w:marBottom w:val="0"/>
              <w:divBdr>
                <w:top w:val="none" w:sz="0" w:space="0" w:color="auto"/>
                <w:left w:val="none" w:sz="0" w:space="0" w:color="auto"/>
                <w:bottom w:val="none" w:sz="0" w:space="0" w:color="auto"/>
                <w:right w:val="none" w:sz="0" w:space="0" w:color="auto"/>
              </w:divBdr>
              <w:divsChild>
                <w:div w:id="1675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98157">
      <w:bodyDiv w:val="1"/>
      <w:marLeft w:val="0"/>
      <w:marRight w:val="0"/>
      <w:marTop w:val="0"/>
      <w:marBottom w:val="0"/>
      <w:divBdr>
        <w:top w:val="none" w:sz="0" w:space="0" w:color="auto"/>
        <w:left w:val="none" w:sz="0" w:space="0" w:color="auto"/>
        <w:bottom w:val="none" w:sz="0" w:space="0" w:color="auto"/>
        <w:right w:val="none" w:sz="0" w:space="0" w:color="auto"/>
      </w:divBdr>
      <w:divsChild>
        <w:div w:id="527379123">
          <w:marLeft w:val="0"/>
          <w:marRight w:val="0"/>
          <w:marTop w:val="0"/>
          <w:marBottom w:val="0"/>
          <w:divBdr>
            <w:top w:val="none" w:sz="0" w:space="0" w:color="auto"/>
            <w:left w:val="none" w:sz="0" w:space="0" w:color="auto"/>
            <w:bottom w:val="none" w:sz="0" w:space="0" w:color="auto"/>
            <w:right w:val="none" w:sz="0" w:space="0" w:color="auto"/>
          </w:divBdr>
          <w:divsChild>
            <w:div w:id="808013356">
              <w:marLeft w:val="0"/>
              <w:marRight w:val="0"/>
              <w:marTop w:val="0"/>
              <w:marBottom w:val="0"/>
              <w:divBdr>
                <w:top w:val="none" w:sz="0" w:space="0" w:color="auto"/>
                <w:left w:val="none" w:sz="0" w:space="0" w:color="auto"/>
                <w:bottom w:val="none" w:sz="0" w:space="0" w:color="auto"/>
                <w:right w:val="none" w:sz="0" w:space="0" w:color="auto"/>
              </w:divBdr>
              <w:divsChild>
                <w:div w:id="10075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74377">
      <w:bodyDiv w:val="1"/>
      <w:marLeft w:val="0"/>
      <w:marRight w:val="0"/>
      <w:marTop w:val="0"/>
      <w:marBottom w:val="0"/>
      <w:divBdr>
        <w:top w:val="none" w:sz="0" w:space="0" w:color="auto"/>
        <w:left w:val="none" w:sz="0" w:space="0" w:color="auto"/>
        <w:bottom w:val="none" w:sz="0" w:space="0" w:color="auto"/>
        <w:right w:val="none" w:sz="0" w:space="0" w:color="auto"/>
      </w:divBdr>
    </w:div>
    <w:div w:id="1196163151">
      <w:bodyDiv w:val="1"/>
      <w:marLeft w:val="0"/>
      <w:marRight w:val="0"/>
      <w:marTop w:val="0"/>
      <w:marBottom w:val="0"/>
      <w:divBdr>
        <w:top w:val="none" w:sz="0" w:space="0" w:color="auto"/>
        <w:left w:val="none" w:sz="0" w:space="0" w:color="auto"/>
        <w:bottom w:val="none" w:sz="0" w:space="0" w:color="auto"/>
        <w:right w:val="none" w:sz="0" w:space="0" w:color="auto"/>
      </w:divBdr>
    </w:div>
    <w:div w:id="1460879053">
      <w:bodyDiv w:val="1"/>
      <w:marLeft w:val="0"/>
      <w:marRight w:val="0"/>
      <w:marTop w:val="0"/>
      <w:marBottom w:val="0"/>
      <w:divBdr>
        <w:top w:val="none" w:sz="0" w:space="0" w:color="auto"/>
        <w:left w:val="none" w:sz="0" w:space="0" w:color="auto"/>
        <w:bottom w:val="none" w:sz="0" w:space="0" w:color="auto"/>
        <w:right w:val="none" w:sz="0" w:space="0" w:color="auto"/>
      </w:divBdr>
    </w:div>
    <w:div w:id="15401704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arningoutcomeassessment.org/Presentations/AACJCDQPmt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57B024B8809A4AB50EA65DF26C084E" ma:contentTypeVersion="3" ma:contentTypeDescription="Create a new document." ma:contentTypeScope="" ma:versionID="45ddbe49511b0b031e36a404ee8b7d25">
  <xsd:schema xmlns:xsd="http://www.w3.org/2001/XMLSchema" xmlns:xs="http://www.w3.org/2001/XMLSchema" xmlns:p="http://schemas.microsoft.com/office/2006/metadata/properties" xmlns:ns2="d143331d-e9a6-4f62-9967-233b55635142" targetNamespace="http://schemas.microsoft.com/office/2006/metadata/properties" ma:root="true" ma:fieldsID="9b8260145f4847f7255026bad0dcd6a3" ns2:_="">
    <xsd:import namespace="d143331d-e9a6-4f62-9967-233b55635142"/>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3331d-e9a6-4f62-9967-233b556351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7F4A12-857E-4721-8E44-38EC454CD0E5}">
  <ds:schemaRefs>
    <ds:schemaRef ds:uri="http://schemas.microsoft.com/sharepoint/v3/contenttype/forms"/>
  </ds:schemaRefs>
</ds:datastoreItem>
</file>

<file path=customXml/itemProps2.xml><?xml version="1.0" encoding="utf-8"?>
<ds:datastoreItem xmlns:ds="http://schemas.openxmlformats.org/officeDocument/2006/customXml" ds:itemID="{E3CC16DC-CFEA-4894-BA52-D1C7B5EEB5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1D34A0-DCFB-41FC-AE7C-E3C6EEFCB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3331d-e9a6-4f62-9967-233b55635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3024</Words>
  <Characters>17238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Penn Hill Group</Company>
  <LinksUpToDate>false</LinksUpToDate>
  <CharactersWithSpaces>20222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Philps</dc:creator>
  <cp:lastModifiedBy>Tom Lane</cp:lastModifiedBy>
  <cp:revision>2</cp:revision>
  <cp:lastPrinted>2015-05-09T01:10:00Z</cp:lastPrinted>
  <dcterms:created xsi:type="dcterms:W3CDTF">2015-05-11T15:11:00Z</dcterms:created>
  <dcterms:modified xsi:type="dcterms:W3CDTF">2015-05-11T15:11:00Z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0x0101008257B024B8809A4AB50EA65DF26C084E</vt:lpwstr>
  </property>
</Properties>
</file>