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3E22" w:rsidRPr="00F37ADF" w:rsidRDefault="00805B43" w:rsidP="00F37ADF">
      <w:pPr>
        <w:spacing w:after="0" w:line="240" w:lineRule="auto"/>
        <w:contextualSpacing/>
        <w:rPr>
          <w:b/>
        </w:rPr>
      </w:pPr>
      <w:r w:rsidRPr="00F37ADF">
        <w:rPr>
          <w:b/>
        </w:rPr>
        <w:t xml:space="preserve">GCC Sustainability Assessment </w:t>
      </w:r>
    </w:p>
    <w:p w:rsidR="00C3707C" w:rsidRPr="00F37ADF" w:rsidRDefault="00C3707C" w:rsidP="00F37ADF">
      <w:pPr>
        <w:spacing w:after="0" w:line="240" w:lineRule="auto"/>
        <w:contextualSpacing/>
        <w:rPr>
          <w:b/>
        </w:rPr>
      </w:pPr>
      <w:r w:rsidRPr="00F37ADF">
        <w:rPr>
          <w:b/>
        </w:rPr>
        <w:t xml:space="preserve">AUO #1 Energy Reduction </w:t>
      </w:r>
    </w:p>
    <w:p w:rsidR="00C3707C" w:rsidRPr="00F37ADF" w:rsidRDefault="00F37ADF" w:rsidP="00F37ADF">
      <w:pPr>
        <w:spacing w:after="0" w:line="240" w:lineRule="auto"/>
        <w:contextualSpacing/>
        <w:rPr>
          <w:b/>
        </w:rPr>
      </w:pPr>
      <w:r w:rsidRPr="00F37ADF">
        <w:rPr>
          <w:b/>
        </w:rPr>
        <w:t xml:space="preserve">Assessment </w:t>
      </w:r>
      <w:proofErr w:type="gramStart"/>
      <w:r w:rsidRPr="00F37ADF">
        <w:rPr>
          <w:b/>
        </w:rPr>
        <w:t>Cycle :</w:t>
      </w:r>
      <w:proofErr w:type="gramEnd"/>
      <w:r w:rsidRPr="00F37ADF">
        <w:rPr>
          <w:b/>
        </w:rPr>
        <w:t xml:space="preserve"> 10/12/2020 – 03/08/2021</w:t>
      </w:r>
    </w:p>
    <w:p w:rsidR="00F37ADF" w:rsidRDefault="00F37ADF" w:rsidP="00F37ADF">
      <w:pPr>
        <w:spacing w:after="0" w:line="240" w:lineRule="auto"/>
        <w:contextualSpacing/>
        <w:rPr>
          <w:b/>
        </w:rPr>
      </w:pPr>
      <w:r w:rsidRPr="00F37ADF">
        <w:rPr>
          <w:b/>
        </w:rPr>
        <w:t xml:space="preserve">Analysis of Findings and Summary of Results </w:t>
      </w:r>
    </w:p>
    <w:p w:rsidR="00F37ADF" w:rsidRDefault="00F37ADF" w:rsidP="00F37ADF">
      <w:pPr>
        <w:spacing w:after="0" w:line="240" w:lineRule="auto"/>
        <w:contextualSpacing/>
        <w:rPr>
          <w:b/>
        </w:rPr>
      </w:pPr>
    </w:p>
    <w:p w:rsidR="00F37ADF" w:rsidRDefault="00F37ADF" w:rsidP="00F37ADF">
      <w:pPr>
        <w:spacing w:after="0" w:line="240" w:lineRule="auto"/>
        <w:contextualSpacing/>
        <w:rPr>
          <w:b/>
        </w:rPr>
      </w:pPr>
    </w:p>
    <w:p w:rsidR="00F37ADF" w:rsidRDefault="00F37ADF" w:rsidP="00F37ADF">
      <w:pPr>
        <w:spacing w:after="0" w:line="240" w:lineRule="auto"/>
        <w:contextualSpacing/>
        <w:rPr>
          <w:b/>
        </w:rPr>
      </w:pPr>
      <w:r>
        <w:rPr>
          <w:b/>
        </w:rPr>
        <w:t>Year Over Year Comparison of Energy Consumption for the Assessment Period</w:t>
      </w:r>
    </w:p>
    <w:p w:rsidR="00F37ADF" w:rsidRDefault="00F37ADF" w:rsidP="00F37ADF">
      <w:pPr>
        <w:spacing w:after="0" w:line="240" w:lineRule="auto"/>
        <w:contextualSpacing/>
        <w:rPr>
          <w:b/>
        </w:rPr>
      </w:pPr>
    </w:p>
    <w:p w:rsidR="002D35AA" w:rsidRPr="0020164A" w:rsidRDefault="002D35AA" w:rsidP="002D35AA">
      <w:pPr>
        <w:pStyle w:val="ListParagraph"/>
        <w:numPr>
          <w:ilvl w:val="0"/>
          <w:numId w:val="1"/>
        </w:numPr>
        <w:spacing w:after="0" w:line="240" w:lineRule="auto"/>
        <w:rPr>
          <w:b/>
        </w:rPr>
      </w:pPr>
      <w:r>
        <w:rPr>
          <w:b/>
        </w:rPr>
        <w:t xml:space="preserve">Summary of Results: </w:t>
      </w:r>
      <w:r>
        <w:t>Based on the data below which reflects year over year energy usage by GCC (Assessment cycle Oct 2020 to March 2021 compared to Oct 2019 to March 2020)</w:t>
      </w:r>
      <w:r w:rsidR="0020164A">
        <w:t xml:space="preserve">, average energy savings during the assessment was approximately </w:t>
      </w:r>
      <w:r w:rsidR="0020164A" w:rsidRPr="0020164A">
        <w:rPr>
          <w:b/>
        </w:rPr>
        <w:t>21.27%!</w:t>
      </w:r>
      <w:r w:rsidR="0020164A">
        <w:t xml:space="preserve"> This exceeded our </w:t>
      </w:r>
      <w:proofErr w:type="gramStart"/>
      <w:r w:rsidR="0020164A">
        <w:t>goal,</w:t>
      </w:r>
      <w:proofErr w:type="gramEnd"/>
      <w:r w:rsidR="0020164A">
        <w:t xml:space="preserve"> however, many variables must be considered in this drastic decrease in energy usage such as with campus lockdown and limited usage of the campus facilities due to COVID19 restrictions. The reduction of human activity on our campus has a huge effect on energy usage given less demand for conditioned air, equipment and technologies that require energy. </w:t>
      </w:r>
    </w:p>
    <w:p w:rsidR="0020164A" w:rsidRPr="0020164A" w:rsidRDefault="0020164A" w:rsidP="002D35AA">
      <w:pPr>
        <w:pStyle w:val="ListParagraph"/>
        <w:numPr>
          <w:ilvl w:val="0"/>
          <w:numId w:val="1"/>
        </w:numPr>
        <w:spacing w:after="0" w:line="240" w:lineRule="auto"/>
        <w:rPr>
          <w:b/>
        </w:rPr>
      </w:pPr>
      <w:r>
        <w:rPr>
          <w:b/>
        </w:rPr>
        <w:t xml:space="preserve">GCC </w:t>
      </w:r>
      <w:r>
        <w:t xml:space="preserve">has also completed replacing down and inefficient AC units (15 total AC units replaced). This has increase energy efficiency and contributed to the energy reduction of at least 5%. </w:t>
      </w:r>
    </w:p>
    <w:p w:rsidR="0020164A" w:rsidRPr="0020164A" w:rsidRDefault="0020164A" w:rsidP="002D35AA">
      <w:pPr>
        <w:pStyle w:val="ListParagraph"/>
        <w:numPr>
          <w:ilvl w:val="0"/>
          <w:numId w:val="1"/>
        </w:numPr>
        <w:spacing w:after="0" w:line="240" w:lineRule="auto"/>
        <w:rPr>
          <w:b/>
        </w:rPr>
      </w:pPr>
      <w:r>
        <w:t xml:space="preserve">More reliable data is needed. This can be </w:t>
      </w:r>
      <w:proofErr w:type="gramStart"/>
      <w:r>
        <w:t>achieve</w:t>
      </w:r>
      <w:proofErr w:type="gramEnd"/>
      <w:r>
        <w:t xml:space="preserve"> by analyzing data when the campus is opened back up and experiences normal human traffic similar to prior semesters. </w:t>
      </w:r>
    </w:p>
    <w:p w:rsidR="0020164A" w:rsidRPr="002D35AA" w:rsidRDefault="0020164A" w:rsidP="0020164A">
      <w:pPr>
        <w:pStyle w:val="ListParagraph"/>
        <w:spacing w:after="0" w:line="240" w:lineRule="auto"/>
        <w:rPr>
          <w:b/>
        </w:rPr>
      </w:pPr>
      <w:bookmarkStart w:id="0" w:name="_GoBack"/>
      <w:bookmarkEnd w:id="0"/>
    </w:p>
    <w:tbl>
      <w:tblPr>
        <w:tblStyle w:val="TableGrid"/>
        <w:tblW w:w="0" w:type="auto"/>
        <w:tblLook w:val="04A0" w:firstRow="1" w:lastRow="0" w:firstColumn="1" w:lastColumn="0" w:noHBand="0" w:noVBand="1"/>
      </w:tblPr>
      <w:tblGrid>
        <w:gridCol w:w="2127"/>
        <w:gridCol w:w="2494"/>
        <w:gridCol w:w="2278"/>
        <w:gridCol w:w="2451"/>
      </w:tblGrid>
      <w:tr w:rsidR="00B365E6" w:rsidTr="00B365E6">
        <w:tc>
          <w:tcPr>
            <w:tcW w:w="2127" w:type="dxa"/>
          </w:tcPr>
          <w:p w:rsidR="00B365E6" w:rsidRDefault="00B365E6" w:rsidP="00F37ADF">
            <w:pPr>
              <w:contextualSpacing/>
              <w:rPr>
                <w:b/>
              </w:rPr>
            </w:pPr>
            <w:r>
              <w:rPr>
                <w:b/>
              </w:rPr>
              <w:t xml:space="preserve">Month </w:t>
            </w:r>
          </w:p>
        </w:tc>
        <w:tc>
          <w:tcPr>
            <w:tcW w:w="2494" w:type="dxa"/>
          </w:tcPr>
          <w:p w:rsidR="00B365E6" w:rsidRDefault="00B365E6" w:rsidP="00F37ADF">
            <w:pPr>
              <w:contextualSpacing/>
              <w:rPr>
                <w:b/>
              </w:rPr>
            </w:pPr>
            <w:r>
              <w:rPr>
                <w:b/>
              </w:rPr>
              <w:t>Assessment Year Data</w:t>
            </w:r>
          </w:p>
          <w:p w:rsidR="00B365E6" w:rsidRDefault="00B365E6" w:rsidP="00F37ADF">
            <w:pPr>
              <w:contextualSpacing/>
              <w:rPr>
                <w:b/>
              </w:rPr>
            </w:pPr>
            <w:r>
              <w:rPr>
                <w:b/>
              </w:rPr>
              <w:t>2020-2021</w:t>
            </w:r>
          </w:p>
        </w:tc>
        <w:tc>
          <w:tcPr>
            <w:tcW w:w="2278" w:type="dxa"/>
          </w:tcPr>
          <w:p w:rsidR="00B365E6" w:rsidRDefault="00B365E6" w:rsidP="00F37ADF">
            <w:pPr>
              <w:contextualSpacing/>
              <w:rPr>
                <w:b/>
              </w:rPr>
            </w:pPr>
            <w:r>
              <w:rPr>
                <w:b/>
              </w:rPr>
              <w:t>Prior Year Data</w:t>
            </w:r>
          </w:p>
          <w:p w:rsidR="00B365E6" w:rsidRDefault="00B365E6" w:rsidP="00F37ADF">
            <w:pPr>
              <w:contextualSpacing/>
              <w:rPr>
                <w:b/>
              </w:rPr>
            </w:pPr>
            <w:r>
              <w:rPr>
                <w:b/>
              </w:rPr>
              <w:t>2019-2020</w:t>
            </w:r>
          </w:p>
        </w:tc>
        <w:tc>
          <w:tcPr>
            <w:tcW w:w="2451" w:type="dxa"/>
          </w:tcPr>
          <w:p w:rsidR="00B365E6" w:rsidRDefault="00B365E6" w:rsidP="00F37ADF">
            <w:pPr>
              <w:contextualSpacing/>
              <w:rPr>
                <w:b/>
              </w:rPr>
            </w:pPr>
            <w:r>
              <w:rPr>
                <w:b/>
              </w:rPr>
              <w:t>Difference (+ or -)</w:t>
            </w:r>
          </w:p>
        </w:tc>
      </w:tr>
      <w:tr w:rsidR="00B365E6" w:rsidTr="00B365E6">
        <w:tc>
          <w:tcPr>
            <w:tcW w:w="2127" w:type="dxa"/>
          </w:tcPr>
          <w:p w:rsidR="00B365E6" w:rsidRDefault="00B365E6" w:rsidP="00F37ADF">
            <w:pPr>
              <w:contextualSpacing/>
              <w:rPr>
                <w:b/>
              </w:rPr>
            </w:pPr>
            <w:r>
              <w:rPr>
                <w:b/>
              </w:rPr>
              <w:t xml:space="preserve">September </w:t>
            </w:r>
          </w:p>
        </w:tc>
        <w:tc>
          <w:tcPr>
            <w:tcW w:w="2494" w:type="dxa"/>
          </w:tcPr>
          <w:p w:rsidR="00B365E6" w:rsidRDefault="00C540C8" w:rsidP="00C540C8">
            <w:pPr>
              <w:contextualSpacing/>
              <w:rPr>
                <w:b/>
              </w:rPr>
            </w:pPr>
            <w:r>
              <w:rPr>
                <w:b/>
              </w:rPr>
              <w:t>231323.73</w:t>
            </w:r>
          </w:p>
        </w:tc>
        <w:tc>
          <w:tcPr>
            <w:tcW w:w="2278" w:type="dxa"/>
          </w:tcPr>
          <w:p w:rsidR="00B365E6" w:rsidRDefault="00C540C8" w:rsidP="00F37ADF">
            <w:pPr>
              <w:contextualSpacing/>
              <w:rPr>
                <w:b/>
              </w:rPr>
            </w:pPr>
            <w:r>
              <w:rPr>
                <w:b/>
              </w:rPr>
              <w:t>321381.75</w:t>
            </w:r>
          </w:p>
        </w:tc>
        <w:tc>
          <w:tcPr>
            <w:tcW w:w="2451" w:type="dxa"/>
          </w:tcPr>
          <w:p w:rsidR="00B365E6" w:rsidRPr="00311042" w:rsidRDefault="008866F4" w:rsidP="00F37ADF">
            <w:pPr>
              <w:contextualSpacing/>
              <w:rPr>
                <w:b/>
                <w:highlight w:val="green"/>
              </w:rPr>
            </w:pPr>
            <w:r w:rsidRPr="00311042">
              <w:rPr>
                <w:b/>
                <w:highlight w:val="green"/>
              </w:rPr>
              <w:t>28.02% (-)</w:t>
            </w:r>
          </w:p>
        </w:tc>
      </w:tr>
      <w:tr w:rsidR="00B365E6" w:rsidTr="00B365E6">
        <w:tc>
          <w:tcPr>
            <w:tcW w:w="2127" w:type="dxa"/>
          </w:tcPr>
          <w:p w:rsidR="00B365E6" w:rsidRDefault="00B365E6" w:rsidP="00F37ADF">
            <w:pPr>
              <w:contextualSpacing/>
              <w:rPr>
                <w:b/>
              </w:rPr>
            </w:pPr>
            <w:r>
              <w:rPr>
                <w:b/>
              </w:rPr>
              <w:t>October</w:t>
            </w:r>
          </w:p>
        </w:tc>
        <w:tc>
          <w:tcPr>
            <w:tcW w:w="2494" w:type="dxa"/>
          </w:tcPr>
          <w:p w:rsidR="00B365E6" w:rsidRDefault="00C540C8" w:rsidP="00F37ADF">
            <w:pPr>
              <w:contextualSpacing/>
              <w:rPr>
                <w:b/>
              </w:rPr>
            </w:pPr>
            <w:r>
              <w:rPr>
                <w:b/>
              </w:rPr>
              <w:t>234080.67</w:t>
            </w:r>
          </w:p>
        </w:tc>
        <w:tc>
          <w:tcPr>
            <w:tcW w:w="2278" w:type="dxa"/>
          </w:tcPr>
          <w:p w:rsidR="00B365E6" w:rsidRDefault="00C540C8" w:rsidP="00F37ADF">
            <w:pPr>
              <w:contextualSpacing/>
              <w:rPr>
                <w:b/>
              </w:rPr>
            </w:pPr>
            <w:r>
              <w:rPr>
                <w:b/>
              </w:rPr>
              <w:t>321588.63</w:t>
            </w:r>
          </w:p>
        </w:tc>
        <w:tc>
          <w:tcPr>
            <w:tcW w:w="2451" w:type="dxa"/>
          </w:tcPr>
          <w:p w:rsidR="00B365E6" w:rsidRPr="00311042" w:rsidRDefault="00311042" w:rsidP="00F37ADF">
            <w:pPr>
              <w:contextualSpacing/>
              <w:rPr>
                <w:b/>
                <w:highlight w:val="green"/>
              </w:rPr>
            </w:pPr>
            <w:r w:rsidRPr="00311042">
              <w:rPr>
                <w:b/>
                <w:highlight w:val="green"/>
              </w:rPr>
              <w:t>27.21% (-)</w:t>
            </w:r>
          </w:p>
        </w:tc>
      </w:tr>
      <w:tr w:rsidR="00B365E6" w:rsidTr="00B365E6">
        <w:tc>
          <w:tcPr>
            <w:tcW w:w="2127" w:type="dxa"/>
          </w:tcPr>
          <w:p w:rsidR="00B365E6" w:rsidRDefault="00C540C8" w:rsidP="00F37ADF">
            <w:pPr>
              <w:contextualSpacing/>
              <w:rPr>
                <w:b/>
              </w:rPr>
            </w:pPr>
            <w:r>
              <w:rPr>
                <w:b/>
              </w:rPr>
              <w:t>November</w:t>
            </w:r>
          </w:p>
        </w:tc>
        <w:tc>
          <w:tcPr>
            <w:tcW w:w="2494" w:type="dxa"/>
          </w:tcPr>
          <w:p w:rsidR="00B365E6" w:rsidRDefault="00C540C8" w:rsidP="00F37ADF">
            <w:pPr>
              <w:contextualSpacing/>
              <w:rPr>
                <w:b/>
              </w:rPr>
            </w:pPr>
            <w:r>
              <w:rPr>
                <w:b/>
              </w:rPr>
              <w:t>247311.93</w:t>
            </w:r>
          </w:p>
        </w:tc>
        <w:tc>
          <w:tcPr>
            <w:tcW w:w="2278" w:type="dxa"/>
          </w:tcPr>
          <w:p w:rsidR="00B365E6" w:rsidRDefault="00C540C8" w:rsidP="00F37ADF">
            <w:pPr>
              <w:contextualSpacing/>
              <w:rPr>
                <w:b/>
              </w:rPr>
            </w:pPr>
            <w:r>
              <w:rPr>
                <w:b/>
              </w:rPr>
              <w:t>305500.69</w:t>
            </w:r>
          </w:p>
        </w:tc>
        <w:tc>
          <w:tcPr>
            <w:tcW w:w="2451" w:type="dxa"/>
          </w:tcPr>
          <w:p w:rsidR="00B365E6" w:rsidRPr="00311042" w:rsidRDefault="00311042" w:rsidP="00F37ADF">
            <w:pPr>
              <w:contextualSpacing/>
              <w:rPr>
                <w:b/>
                <w:highlight w:val="green"/>
              </w:rPr>
            </w:pPr>
            <w:r w:rsidRPr="00311042">
              <w:rPr>
                <w:b/>
                <w:highlight w:val="green"/>
              </w:rPr>
              <w:t>19.04% (-)</w:t>
            </w:r>
          </w:p>
        </w:tc>
      </w:tr>
      <w:tr w:rsidR="00B365E6" w:rsidTr="00B365E6">
        <w:tc>
          <w:tcPr>
            <w:tcW w:w="2127" w:type="dxa"/>
          </w:tcPr>
          <w:p w:rsidR="00B365E6" w:rsidRDefault="00C540C8" w:rsidP="00F37ADF">
            <w:pPr>
              <w:contextualSpacing/>
              <w:rPr>
                <w:b/>
              </w:rPr>
            </w:pPr>
            <w:r>
              <w:rPr>
                <w:b/>
              </w:rPr>
              <w:t>December</w:t>
            </w:r>
          </w:p>
        </w:tc>
        <w:tc>
          <w:tcPr>
            <w:tcW w:w="2494" w:type="dxa"/>
          </w:tcPr>
          <w:p w:rsidR="00B365E6" w:rsidRDefault="00C540C8" w:rsidP="00F37ADF">
            <w:pPr>
              <w:contextualSpacing/>
              <w:rPr>
                <w:b/>
              </w:rPr>
            </w:pPr>
            <w:r>
              <w:rPr>
                <w:b/>
              </w:rPr>
              <w:t>242364.86</w:t>
            </w:r>
          </w:p>
        </w:tc>
        <w:tc>
          <w:tcPr>
            <w:tcW w:w="2278" w:type="dxa"/>
          </w:tcPr>
          <w:p w:rsidR="00B365E6" w:rsidRDefault="00C540C8" w:rsidP="00F37ADF">
            <w:pPr>
              <w:contextualSpacing/>
              <w:rPr>
                <w:b/>
              </w:rPr>
            </w:pPr>
            <w:r>
              <w:rPr>
                <w:b/>
              </w:rPr>
              <w:t>292489.67</w:t>
            </w:r>
          </w:p>
        </w:tc>
        <w:tc>
          <w:tcPr>
            <w:tcW w:w="2451" w:type="dxa"/>
          </w:tcPr>
          <w:p w:rsidR="00B365E6" w:rsidRPr="00311042" w:rsidRDefault="00311042" w:rsidP="00F37ADF">
            <w:pPr>
              <w:contextualSpacing/>
              <w:rPr>
                <w:b/>
                <w:highlight w:val="green"/>
              </w:rPr>
            </w:pPr>
            <w:r w:rsidRPr="00311042">
              <w:rPr>
                <w:b/>
                <w:highlight w:val="green"/>
              </w:rPr>
              <w:t>17.13% (-)</w:t>
            </w:r>
          </w:p>
        </w:tc>
      </w:tr>
      <w:tr w:rsidR="00B365E6" w:rsidTr="00B365E6">
        <w:tc>
          <w:tcPr>
            <w:tcW w:w="2127" w:type="dxa"/>
          </w:tcPr>
          <w:p w:rsidR="00B365E6" w:rsidRDefault="00C540C8" w:rsidP="00F37ADF">
            <w:pPr>
              <w:contextualSpacing/>
              <w:rPr>
                <w:b/>
              </w:rPr>
            </w:pPr>
            <w:r>
              <w:rPr>
                <w:b/>
              </w:rPr>
              <w:t xml:space="preserve">January </w:t>
            </w:r>
          </w:p>
        </w:tc>
        <w:tc>
          <w:tcPr>
            <w:tcW w:w="2494" w:type="dxa"/>
          </w:tcPr>
          <w:p w:rsidR="00B365E6" w:rsidRDefault="00C540C8" w:rsidP="00F37ADF">
            <w:pPr>
              <w:contextualSpacing/>
              <w:rPr>
                <w:b/>
              </w:rPr>
            </w:pPr>
            <w:r>
              <w:rPr>
                <w:b/>
              </w:rPr>
              <w:t>235982.66</w:t>
            </w:r>
          </w:p>
        </w:tc>
        <w:tc>
          <w:tcPr>
            <w:tcW w:w="2278" w:type="dxa"/>
          </w:tcPr>
          <w:p w:rsidR="00B365E6" w:rsidRDefault="00C540C8" w:rsidP="00F37ADF">
            <w:pPr>
              <w:contextualSpacing/>
              <w:rPr>
                <w:b/>
              </w:rPr>
            </w:pPr>
            <w:r>
              <w:rPr>
                <w:b/>
              </w:rPr>
              <w:t>277580.13</w:t>
            </w:r>
          </w:p>
        </w:tc>
        <w:tc>
          <w:tcPr>
            <w:tcW w:w="2451" w:type="dxa"/>
          </w:tcPr>
          <w:p w:rsidR="00B365E6" w:rsidRPr="00311042" w:rsidRDefault="00311042" w:rsidP="00F37ADF">
            <w:pPr>
              <w:contextualSpacing/>
              <w:rPr>
                <w:b/>
                <w:highlight w:val="green"/>
              </w:rPr>
            </w:pPr>
            <w:r w:rsidRPr="00311042">
              <w:rPr>
                <w:b/>
                <w:highlight w:val="green"/>
              </w:rPr>
              <w:t>14.98% (-)</w:t>
            </w:r>
          </w:p>
        </w:tc>
      </w:tr>
      <w:tr w:rsidR="00B365E6" w:rsidTr="00B365E6">
        <w:tc>
          <w:tcPr>
            <w:tcW w:w="2127" w:type="dxa"/>
          </w:tcPr>
          <w:p w:rsidR="00B365E6" w:rsidRDefault="00B365E6" w:rsidP="00F37ADF">
            <w:pPr>
              <w:contextualSpacing/>
              <w:rPr>
                <w:b/>
              </w:rPr>
            </w:pPr>
          </w:p>
        </w:tc>
        <w:tc>
          <w:tcPr>
            <w:tcW w:w="2494" w:type="dxa"/>
          </w:tcPr>
          <w:p w:rsidR="00B365E6" w:rsidRDefault="00B365E6" w:rsidP="00F37ADF">
            <w:pPr>
              <w:contextualSpacing/>
              <w:rPr>
                <w:b/>
              </w:rPr>
            </w:pPr>
          </w:p>
        </w:tc>
        <w:tc>
          <w:tcPr>
            <w:tcW w:w="2278" w:type="dxa"/>
          </w:tcPr>
          <w:p w:rsidR="00B365E6" w:rsidRDefault="00B365E6" w:rsidP="00F37ADF">
            <w:pPr>
              <w:contextualSpacing/>
              <w:rPr>
                <w:b/>
              </w:rPr>
            </w:pPr>
          </w:p>
        </w:tc>
        <w:tc>
          <w:tcPr>
            <w:tcW w:w="2451" w:type="dxa"/>
          </w:tcPr>
          <w:p w:rsidR="00B365E6" w:rsidRDefault="00B365E6" w:rsidP="00F37ADF">
            <w:pPr>
              <w:contextualSpacing/>
              <w:rPr>
                <w:b/>
              </w:rPr>
            </w:pPr>
          </w:p>
        </w:tc>
      </w:tr>
      <w:tr w:rsidR="00B365E6" w:rsidTr="00B365E6">
        <w:tc>
          <w:tcPr>
            <w:tcW w:w="2127" w:type="dxa"/>
          </w:tcPr>
          <w:p w:rsidR="00B365E6" w:rsidRDefault="00B365E6" w:rsidP="00F37ADF">
            <w:pPr>
              <w:contextualSpacing/>
              <w:rPr>
                <w:b/>
              </w:rPr>
            </w:pPr>
          </w:p>
        </w:tc>
        <w:tc>
          <w:tcPr>
            <w:tcW w:w="2494" w:type="dxa"/>
          </w:tcPr>
          <w:p w:rsidR="00B365E6" w:rsidRDefault="00B365E6" w:rsidP="00F37ADF">
            <w:pPr>
              <w:contextualSpacing/>
              <w:rPr>
                <w:b/>
              </w:rPr>
            </w:pPr>
          </w:p>
        </w:tc>
        <w:tc>
          <w:tcPr>
            <w:tcW w:w="2278" w:type="dxa"/>
          </w:tcPr>
          <w:p w:rsidR="00B365E6" w:rsidRDefault="00311042" w:rsidP="00F37ADF">
            <w:pPr>
              <w:contextualSpacing/>
              <w:rPr>
                <w:b/>
              </w:rPr>
            </w:pPr>
            <w:r>
              <w:rPr>
                <w:b/>
              </w:rPr>
              <w:t xml:space="preserve">Average Monthly Reduction </w:t>
            </w:r>
          </w:p>
        </w:tc>
        <w:tc>
          <w:tcPr>
            <w:tcW w:w="2451" w:type="dxa"/>
          </w:tcPr>
          <w:p w:rsidR="00B365E6" w:rsidRDefault="00311042" w:rsidP="00F37ADF">
            <w:pPr>
              <w:contextualSpacing/>
              <w:rPr>
                <w:b/>
              </w:rPr>
            </w:pPr>
            <w:r w:rsidRPr="00311042">
              <w:rPr>
                <w:b/>
                <w:highlight w:val="green"/>
              </w:rPr>
              <w:t>21.27% average monthly energy reduction</w:t>
            </w:r>
            <w:r>
              <w:rPr>
                <w:b/>
              </w:rPr>
              <w:t xml:space="preserve"> </w:t>
            </w:r>
          </w:p>
        </w:tc>
      </w:tr>
    </w:tbl>
    <w:p w:rsidR="00F37ADF" w:rsidRDefault="00F37ADF" w:rsidP="00F37ADF">
      <w:pPr>
        <w:spacing w:after="0" w:line="240" w:lineRule="auto"/>
        <w:contextualSpacing/>
        <w:rPr>
          <w:b/>
        </w:rPr>
      </w:pPr>
    </w:p>
    <w:p w:rsidR="00DA713D" w:rsidRDefault="00DA713D" w:rsidP="00F37ADF">
      <w:pPr>
        <w:spacing w:after="0" w:line="240" w:lineRule="auto"/>
        <w:contextualSpacing/>
        <w:rPr>
          <w:b/>
        </w:rPr>
      </w:pPr>
    </w:p>
    <w:p w:rsidR="001557AE" w:rsidRDefault="001557AE" w:rsidP="00F37ADF">
      <w:pPr>
        <w:spacing w:after="0" w:line="240" w:lineRule="auto"/>
        <w:contextualSpacing/>
        <w:rPr>
          <w:b/>
        </w:rPr>
      </w:pPr>
      <w:r>
        <w:rPr>
          <w:b/>
        </w:rPr>
        <w:t>GCC Renewable Energy Production for the Assessment Cycle Period in kilowatt-hours</w:t>
      </w:r>
    </w:p>
    <w:p w:rsidR="001557AE" w:rsidRDefault="001557AE" w:rsidP="00F37ADF">
      <w:pPr>
        <w:spacing w:after="0" w:line="240" w:lineRule="auto"/>
        <w:contextualSpacing/>
        <w:rPr>
          <w:b/>
        </w:rPr>
      </w:pPr>
    </w:p>
    <w:tbl>
      <w:tblPr>
        <w:tblW w:w="7362" w:type="dxa"/>
        <w:tblLook w:val="04A0" w:firstRow="1" w:lastRow="0" w:firstColumn="1" w:lastColumn="0" w:noHBand="0" w:noVBand="1"/>
      </w:tblPr>
      <w:tblGrid>
        <w:gridCol w:w="1222"/>
        <w:gridCol w:w="1200"/>
        <w:gridCol w:w="1220"/>
        <w:gridCol w:w="1240"/>
        <w:gridCol w:w="1240"/>
        <w:gridCol w:w="1240"/>
      </w:tblGrid>
      <w:tr w:rsidR="001557AE" w:rsidRPr="001557AE" w:rsidTr="001557AE">
        <w:trPr>
          <w:trHeight w:val="288"/>
        </w:trPr>
        <w:tc>
          <w:tcPr>
            <w:tcW w:w="1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7AE" w:rsidRPr="001557AE" w:rsidRDefault="001557AE" w:rsidP="001557AE">
            <w:pPr>
              <w:spacing w:after="0" w:line="240" w:lineRule="auto"/>
              <w:jc w:val="center"/>
              <w:rPr>
                <w:rFonts w:ascii="Calibri" w:eastAsia="Times New Roman" w:hAnsi="Calibri" w:cs="Calibri"/>
                <w:b/>
                <w:bCs/>
                <w:color w:val="000000"/>
              </w:rPr>
            </w:pPr>
            <w:r w:rsidRPr="001557AE">
              <w:rPr>
                <w:rFonts w:ascii="Calibri" w:eastAsia="Times New Roman" w:hAnsi="Calibri" w:cs="Calibri"/>
                <w:b/>
                <w:bCs/>
                <w:color w:val="000000"/>
              </w:rPr>
              <w:t xml:space="preserve">September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1557AE" w:rsidRPr="001557AE" w:rsidRDefault="001557AE" w:rsidP="001557AE">
            <w:pPr>
              <w:spacing w:after="0" w:line="240" w:lineRule="auto"/>
              <w:jc w:val="center"/>
              <w:rPr>
                <w:rFonts w:ascii="Calibri" w:eastAsia="Times New Roman" w:hAnsi="Calibri" w:cs="Calibri"/>
                <w:b/>
                <w:bCs/>
                <w:color w:val="000000"/>
              </w:rPr>
            </w:pPr>
            <w:r w:rsidRPr="001557AE">
              <w:rPr>
                <w:rFonts w:ascii="Calibri" w:eastAsia="Times New Roman" w:hAnsi="Calibri" w:cs="Calibri"/>
                <w:b/>
                <w:bCs/>
                <w:color w:val="000000"/>
              </w:rPr>
              <w:t xml:space="preserve">October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1557AE" w:rsidRPr="001557AE" w:rsidRDefault="001557AE" w:rsidP="001557AE">
            <w:pPr>
              <w:spacing w:after="0" w:line="240" w:lineRule="auto"/>
              <w:jc w:val="center"/>
              <w:rPr>
                <w:rFonts w:ascii="Calibri" w:eastAsia="Times New Roman" w:hAnsi="Calibri" w:cs="Calibri"/>
                <w:b/>
                <w:bCs/>
                <w:color w:val="000000"/>
              </w:rPr>
            </w:pPr>
            <w:r w:rsidRPr="001557AE">
              <w:rPr>
                <w:rFonts w:ascii="Calibri" w:eastAsia="Times New Roman" w:hAnsi="Calibri" w:cs="Calibri"/>
                <w:b/>
                <w:bCs/>
                <w:color w:val="000000"/>
              </w:rPr>
              <w:t xml:space="preserve">November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1557AE" w:rsidRPr="001557AE" w:rsidRDefault="001557AE" w:rsidP="001557AE">
            <w:pPr>
              <w:spacing w:after="0" w:line="240" w:lineRule="auto"/>
              <w:jc w:val="center"/>
              <w:rPr>
                <w:rFonts w:ascii="Calibri" w:eastAsia="Times New Roman" w:hAnsi="Calibri" w:cs="Calibri"/>
                <w:b/>
                <w:bCs/>
                <w:color w:val="000000"/>
              </w:rPr>
            </w:pPr>
            <w:r w:rsidRPr="001557AE">
              <w:rPr>
                <w:rFonts w:ascii="Calibri" w:eastAsia="Times New Roman" w:hAnsi="Calibri" w:cs="Calibri"/>
                <w:b/>
                <w:bCs/>
                <w:color w:val="000000"/>
              </w:rPr>
              <w:t>December</w:t>
            </w:r>
          </w:p>
        </w:tc>
        <w:tc>
          <w:tcPr>
            <w:tcW w:w="1240" w:type="dxa"/>
            <w:tcBorders>
              <w:top w:val="single" w:sz="4" w:space="0" w:color="auto"/>
              <w:left w:val="nil"/>
              <w:bottom w:val="single" w:sz="4" w:space="0" w:color="auto"/>
              <w:right w:val="single" w:sz="4" w:space="0" w:color="auto"/>
            </w:tcBorders>
          </w:tcPr>
          <w:p w:rsidR="001557AE" w:rsidRPr="001557AE" w:rsidRDefault="001557AE" w:rsidP="001557AE">
            <w:pPr>
              <w:jc w:val="center"/>
              <w:rPr>
                <w:b/>
              </w:rPr>
            </w:pPr>
            <w:r w:rsidRPr="001557AE">
              <w:rPr>
                <w:b/>
              </w:rPr>
              <w:t>Jan</w:t>
            </w:r>
          </w:p>
        </w:tc>
        <w:tc>
          <w:tcPr>
            <w:tcW w:w="1240" w:type="dxa"/>
            <w:tcBorders>
              <w:top w:val="single" w:sz="4" w:space="0" w:color="auto"/>
              <w:left w:val="nil"/>
              <w:bottom w:val="single" w:sz="4" w:space="0" w:color="auto"/>
              <w:right w:val="single" w:sz="4" w:space="0" w:color="auto"/>
            </w:tcBorders>
          </w:tcPr>
          <w:p w:rsidR="001557AE" w:rsidRPr="001557AE" w:rsidRDefault="001557AE" w:rsidP="001557AE">
            <w:pPr>
              <w:jc w:val="center"/>
              <w:rPr>
                <w:b/>
              </w:rPr>
            </w:pPr>
            <w:r>
              <w:rPr>
                <w:b/>
              </w:rPr>
              <w:t>Feb</w:t>
            </w:r>
          </w:p>
        </w:tc>
      </w:tr>
      <w:tr w:rsidR="001557AE" w:rsidRPr="001557AE" w:rsidTr="001557AE">
        <w:trPr>
          <w:trHeight w:val="288"/>
        </w:trPr>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1557AE" w:rsidRPr="001557AE" w:rsidRDefault="001557AE" w:rsidP="001557AE">
            <w:pPr>
              <w:spacing w:after="0" w:line="240" w:lineRule="auto"/>
              <w:jc w:val="center"/>
              <w:rPr>
                <w:rFonts w:ascii="Calibri" w:eastAsia="Times New Roman" w:hAnsi="Calibri" w:cs="Calibri"/>
                <w:b/>
                <w:bCs/>
                <w:color w:val="000000"/>
              </w:rPr>
            </w:pPr>
            <w:r w:rsidRPr="001557AE">
              <w:rPr>
                <w:rFonts w:ascii="Calibri" w:eastAsia="Times New Roman" w:hAnsi="Calibri" w:cs="Calibri"/>
                <w:b/>
                <w:bCs/>
                <w:color w:val="000000"/>
              </w:rPr>
              <w:t>2.486</w:t>
            </w:r>
          </w:p>
        </w:tc>
        <w:tc>
          <w:tcPr>
            <w:tcW w:w="1200" w:type="dxa"/>
            <w:tcBorders>
              <w:top w:val="nil"/>
              <w:left w:val="nil"/>
              <w:bottom w:val="single" w:sz="4" w:space="0" w:color="auto"/>
              <w:right w:val="single" w:sz="4" w:space="0" w:color="auto"/>
            </w:tcBorders>
            <w:shd w:val="clear" w:color="auto" w:fill="auto"/>
            <w:noWrap/>
            <w:vAlign w:val="bottom"/>
            <w:hideMark/>
          </w:tcPr>
          <w:p w:rsidR="001557AE" w:rsidRPr="001557AE" w:rsidRDefault="001557AE" w:rsidP="001557AE">
            <w:pPr>
              <w:spacing w:after="0" w:line="240" w:lineRule="auto"/>
              <w:jc w:val="center"/>
              <w:rPr>
                <w:rFonts w:ascii="Calibri" w:eastAsia="Times New Roman" w:hAnsi="Calibri" w:cs="Calibri"/>
                <w:b/>
                <w:bCs/>
                <w:color w:val="000000"/>
              </w:rPr>
            </w:pPr>
            <w:r w:rsidRPr="001557AE">
              <w:rPr>
                <w:rFonts w:ascii="Calibri" w:eastAsia="Times New Roman" w:hAnsi="Calibri" w:cs="Calibri"/>
                <w:b/>
                <w:bCs/>
                <w:color w:val="000000"/>
              </w:rPr>
              <w:t>2.414</w:t>
            </w:r>
          </w:p>
        </w:tc>
        <w:tc>
          <w:tcPr>
            <w:tcW w:w="1220" w:type="dxa"/>
            <w:tcBorders>
              <w:top w:val="nil"/>
              <w:left w:val="nil"/>
              <w:bottom w:val="single" w:sz="4" w:space="0" w:color="auto"/>
              <w:right w:val="single" w:sz="4" w:space="0" w:color="auto"/>
            </w:tcBorders>
            <w:shd w:val="clear" w:color="auto" w:fill="auto"/>
            <w:noWrap/>
            <w:vAlign w:val="bottom"/>
            <w:hideMark/>
          </w:tcPr>
          <w:p w:rsidR="001557AE" w:rsidRPr="001557AE" w:rsidRDefault="001557AE" w:rsidP="001557AE">
            <w:pPr>
              <w:spacing w:after="0" w:line="240" w:lineRule="auto"/>
              <w:jc w:val="center"/>
              <w:rPr>
                <w:rFonts w:ascii="Calibri" w:eastAsia="Times New Roman" w:hAnsi="Calibri" w:cs="Calibri"/>
                <w:b/>
                <w:bCs/>
                <w:color w:val="000000"/>
              </w:rPr>
            </w:pPr>
            <w:r w:rsidRPr="001557AE">
              <w:rPr>
                <w:rFonts w:ascii="Calibri" w:eastAsia="Times New Roman" w:hAnsi="Calibri" w:cs="Calibri"/>
                <w:b/>
                <w:bCs/>
                <w:color w:val="000000"/>
              </w:rPr>
              <w:t>2.419</w:t>
            </w:r>
          </w:p>
        </w:tc>
        <w:tc>
          <w:tcPr>
            <w:tcW w:w="1240" w:type="dxa"/>
            <w:tcBorders>
              <w:top w:val="nil"/>
              <w:left w:val="nil"/>
              <w:bottom w:val="single" w:sz="4" w:space="0" w:color="auto"/>
              <w:right w:val="single" w:sz="4" w:space="0" w:color="auto"/>
            </w:tcBorders>
            <w:shd w:val="clear" w:color="auto" w:fill="auto"/>
            <w:noWrap/>
            <w:vAlign w:val="bottom"/>
            <w:hideMark/>
          </w:tcPr>
          <w:p w:rsidR="001557AE" w:rsidRPr="001557AE" w:rsidRDefault="001557AE" w:rsidP="001557AE">
            <w:pPr>
              <w:spacing w:after="0" w:line="240" w:lineRule="auto"/>
              <w:jc w:val="center"/>
              <w:rPr>
                <w:rFonts w:ascii="Calibri" w:eastAsia="Times New Roman" w:hAnsi="Calibri" w:cs="Calibri"/>
                <w:b/>
                <w:bCs/>
                <w:color w:val="000000"/>
              </w:rPr>
            </w:pPr>
            <w:r w:rsidRPr="001557AE">
              <w:rPr>
                <w:rFonts w:ascii="Calibri" w:eastAsia="Times New Roman" w:hAnsi="Calibri" w:cs="Calibri"/>
                <w:b/>
                <w:bCs/>
                <w:color w:val="000000"/>
              </w:rPr>
              <w:t>2.393</w:t>
            </w:r>
          </w:p>
        </w:tc>
        <w:tc>
          <w:tcPr>
            <w:tcW w:w="1240" w:type="dxa"/>
            <w:tcBorders>
              <w:top w:val="nil"/>
              <w:left w:val="nil"/>
              <w:bottom w:val="single" w:sz="4" w:space="0" w:color="auto"/>
              <w:right w:val="single" w:sz="4" w:space="0" w:color="auto"/>
            </w:tcBorders>
          </w:tcPr>
          <w:p w:rsidR="001557AE" w:rsidRPr="001A62A9" w:rsidRDefault="001557AE" w:rsidP="001557AE">
            <w:pPr>
              <w:jc w:val="center"/>
            </w:pPr>
            <w:r w:rsidRPr="001A62A9">
              <w:t>2.642</w:t>
            </w:r>
          </w:p>
        </w:tc>
        <w:tc>
          <w:tcPr>
            <w:tcW w:w="1240" w:type="dxa"/>
            <w:tcBorders>
              <w:top w:val="nil"/>
              <w:left w:val="nil"/>
              <w:bottom w:val="single" w:sz="4" w:space="0" w:color="auto"/>
              <w:right w:val="single" w:sz="4" w:space="0" w:color="auto"/>
            </w:tcBorders>
          </w:tcPr>
          <w:p w:rsidR="001557AE" w:rsidRPr="001A62A9" w:rsidRDefault="001557AE" w:rsidP="001557AE">
            <w:pPr>
              <w:jc w:val="center"/>
            </w:pPr>
          </w:p>
        </w:tc>
      </w:tr>
      <w:tr w:rsidR="001557AE" w:rsidRPr="001557AE" w:rsidTr="001557AE">
        <w:trPr>
          <w:trHeight w:val="288"/>
        </w:trPr>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1557AE" w:rsidRPr="001557AE" w:rsidRDefault="001557AE" w:rsidP="001557AE">
            <w:pPr>
              <w:spacing w:after="0" w:line="240" w:lineRule="auto"/>
              <w:jc w:val="center"/>
              <w:rPr>
                <w:rFonts w:ascii="Calibri" w:eastAsia="Times New Roman" w:hAnsi="Calibri" w:cs="Calibri"/>
                <w:color w:val="000000"/>
              </w:rPr>
            </w:pPr>
            <w:r w:rsidRPr="001557AE">
              <w:rPr>
                <w:rFonts w:ascii="Calibri" w:eastAsia="Times New Roman" w:hAnsi="Calibri" w:cs="Calibri"/>
                <w:color w:val="000000"/>
              </w:rPr>
              <w:t>2.834</w:t>
            </w:r>
          </w:p>
        </w:tc>
        <w:tc>
          <w:tcPr>
            <w:tcW w:w="1200" w:type="dxa"/>
            <w:tcBorders>
              <w:top w:val="nil"/>
              <w:left w:val="nil"/>
              <w:bottom w:val="single" w:sz="4" w:space="0" w:color="auto"/>
              <w:right w:val="single" w:sz="4" w:space="0" w:color="auto"/>
            </w:tcBorders>
            <w:shd w:val="clear" w:color="auto" w:fill="auto"/>
            <w:noWrap/>
            <w:vAlign w:val="bottom"/>
            <w:hideMark/>
          </w:tcPr>
          <w:p w:rsidR="001557AE" w:rsidRPr="001557AE" w:rsidRDefault="001557AE" w:rsidP="001557AE">
            <w:pPr>
              <w:spacing w:after="0" w:line="240" w:lineRule="auto"/>
              <w:jc w:val="center"/>
              <w:rPr>
                <w:rFonts w:ascii="Calibri" w:eastAsia="Times New Roman" w:hAnsi="Calibri" w:cs="Calibri"/>
                <w:color w:val="000000"/>
              </w:rPr>
            </w:pPr>
            <w:r w:rsidRPr="001557AE">
              <w:rPr>
                <w:rFonts w:ascii="Calibri" w:eastAsia="Times New Roman" w:hAnsi="Calibri" w:cs="Calibri"/>
                <w:color w:val="000000"/>
              </w:rPr>
              <w:t>2.746</w:t>
            </w:r>
          </w:p>
        </w:tc>
        <w:tc>
          <w:tcPr>
            <w:tcW w:w="1220" w:type="dxa"/>
            <w:tcBorders>
              <w:top w:val="nil"/>
              <w:left w:val="nil"/>
              <w:bottom w:val="single" w:sz="4" w:space="0" w:color="auto"/>
              <w:right w:val="single" w:sz="4" w:space="0" w:color="auto"/>
            </w:tcBorders>
            <w:shd w:val="clear" w:color="auto" w:fill="auto"/>
            <w:noWrap/>
            <w:vAlign w:val="bottom"/>
            <w:hideMark/>
          </w:tcPr>
          <w:p w:rsidR="001557AE" w:rsidRPr="001557AE" w:rsidRDefault="001557AE" w:rsidP="001557AE">
            <w:pPr>
              <w:spacing w:after="0" w:line="240" w:lineRule="auto"/>
              <w:jc w:val="center"/>
              <w:rPr>
                <w:rFonts w:ascii="Calibri" w:eastAsia="Times New Roman" w:hAnsi="Calibri" w:cs="Calibri"/>
                <w:color w:val="000000"/>
              </w:rPr>
            </w:pPr>
            <w:r w:rsidRPr="001557AE">
              <w:rPr>
                <w:rFonts w:ascii="Calibri" w:eastAsia="Times New Roman" w:hAnsi="Calibri" w:cs="Calibri"/>
                <w:color w:val="000000"/>
              </w:rPr>
              <w:t>2.741</w:t>
            </w:r>
          </w:p>
        </w:tc>
        <w:tc>
          <w:tcPr>
            <w:tcW w:w="1240" w:type="dxa"/>
            <w:tcBorders>
              <w:top w:val="nil"/>
              <w:left w:val="nil"/>
              <w:bottom w:val="single" w:sz="4" w:space="0" w:color="auto"/>
              <w:right w:val="single" w:sz="4" w:space="0" w:color="auto"/>
            </w:tcBorders>
            <w:shd w:val="clear" w:color="auto" w:fill="auto"/>
            <w:noWrap/>
            <w:vAlign w:val="bottom"/>
            <w:hideMark/>
          </w:tcPr>
          <w:p w:rsidR="001557AE" w:rsidRPr="001557AE" w:rsidRDefault="001557AE" w:rsidP="001557AE">
            <w:pPr>
              <w:spacing w:after="0" w:line="240" w:lineRule="auto"/>
              <w:jc w:val="center"/>
              <w:rPr>
                <w:rFonts w:ascii="Calibri" w:eastAsia="Times New Roman" w:hAnsi="Calibri" w:cs="Calibri"/>
                <w:color w:val="000000"/>
              </w:rPr>
            </w:pPr>
            <w:r w:rsidRPr="001557AE">
              <w:rPr>
                <w:rFonts w:ascii="Calibri" w:eastAsia="Times New Roman" w:hAnsi="Calibri" w:cs="Calibri"/>
                <w:color w:val="000000"/>
              </w:rPr>
              <w:t>2.718</w:t>
            </w:r>
          </w:p>
        </w:tc>
        <w:tc>
          <w:tcPr>
            <w:tcW w:w="1240" w:type="dxa"/>
            <w:tcBorders>
              <w:top w:val="nil"/>
              <w:left w:val="nil"/>
              <w:bottom w:val="single" w:sz="4" w:space="0" w:color="auto"/>
              <w:right w:val="single" w:sz="4" w:space="0" w:color="auto"/>
            </w:tcBorders>
          </w:tcPr>
          <w:p w:rsidR="001557AE" w:rsidRPr="001A62A9" w:rsidRDefault="001557AE" w:rsidP="001557AE">
            <w:pPr>
              <w:jc w:val="center"/>
            </w:pPr>
            <w:r w:rsidRPr="001A62A9">
              <w:t>2.269</w:t>
            </w:r>
          </w:p>
        </w:tc>
        <w:tc>
          <w:tcPr>
            <w:tcW w:w="1240" w:type="dxa"/>
            <w:tcBorders>
              <w:top w:val="nil"/>
              <w:left w:val="nil"/>
              <w:bottom w:val="single" w:sz="4" w:space="0" w:color="auto"/>
              <w:right w:val="single" w:sz="4" w:space="0" w:color="auto"/>
            </w:tcBorders>
          </w:tcPr>
          <w:p w:rsidR="001557AE" w:rsidRPr="001A62A9" w:rsidRDefault="001557AE" w:rsidP="001557AE">
            <w:pPr>
              <w:jc w:val="center"/>
            </w:pPr>
          </w:p>
        </w:tc>
      </w:tr>
      <w:tr w:rsidR="001557AE" w:rsidRPr="001557AE" w:rsidTr="001557AE">
        <w:trPr>
          <w:trHeight w:val="288"/>
        </w:trPr>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1557AE" w:rsidRPr="001557AE" w:rsidRDefault="001557AE" w:rsidP="001557AE">
            <w:pPr>
              <w:spacing w:after="0" w:line="240" w:lineRule="auto"/>
              <w:jc w:val="center"/>
              <w:rPr>
                <w:rFonts w:ascii="Calibri" w:eastAsia="Times New Roman" w:hAnsi="Calibri" w:cs="Calibri"/>
                <w:color w:val="000000"/>
              </w:rPr>
            </w:pPr>
            <w:r w:rsidRPr="001557AE">
              <w:rPr>
                <w:rFonts w:ascii="Calibri" w:eastAsia="Times New Roman" w:hAnsi="Calibri" w:cs="Calibri"/>
                <w:color w:val="000000"/>
              </w:rPr>
              <w:t>2.436</w:t>
            </w:r>
          </w:p>
        </w:tc>
        <w:tc>
          <w:tcPr>
            <w:tcW w:w="1200" w:type="dxa"/>
            <w:tcBorders>
              <w:top w:val="nil"/>
              <w:left w:val="nil"/>
              <w:bottom w:val="single" w:sz="4" w:space="0" w:color="auto"/>
              <w:right w:val="single" w:sz="4" w:space="0" w:color="auto"/>
            </w:tcBorders>
            <w:shd w:val="clear" w:color="auto" w:fill="auto"/>
            <w:noWrap/>
            <w:vAlign w:val="bottom"/>
            <w:hideMark/>
          </w:tcPr>
          <w:p w:rsidR="001557AE" w:rsidRPr="001557AE" w:rsidRDefault="001557AE" w:rsidP="001557AE">
            <w:pPr>
              <w:spacing w:after="0" w:line="240" w:lineRule="auto"/>
              <w:jc w:val="center"/>
              <w:rPr>
                <w:rFonts w:ascii="Calibri" w:eastAsia="Times New Roman" w:hAnsi="Calibri" w:cs="Calibri"/>
                <w:color w:val="000000"/>
              </w:rPr>
            </w:pPr>
            <w:r w:rsidRPr="001557AE">
              <w:rPr>
                <w:rFonts w:ascii="Calibri" w:eastAsia="Times New Roman" w:hAnsi="Calibri" w:cs="Calibri"/>
                <w:color w:val="000000"/>
              </w:rPr>
              <w:t>2.345</w:t>
            </w:r>
          </w:p>
        </w:tc>
        <w:tc>
          <w:tcPr>
            <w:tcW w:w="1220" w:type="dxa"/>
            <w:tcBorders>
              <w:top w:val="nil"/>
              <w:left w:val="nil"/>
              <w:bottom w:val="single" w:sz="4" w:space="0" w:color="auto"/>
              <w:right w:val="single" w:sz="4" w:space="0" w:color="auto"/>
            </w:tcBorders>
            <w:shd w:val="clear" w:color="auto" w:fill="auto"/>
            <w:noWrap/>
            <w:vAlign w:val="bottom"/>
            <w:hideMark/>
          </w:tcPr>
          <w:p w:rsidR="001557AE" w:rsidRPr="001557AE" w:rsidRDefault="001557AE" w:rsidP="001557AE">
            <w:pPr>
              <w:spacing w:after="0" w:line="240" w:lineRule="auto"/>
              <w:jc w:val="center"/>
              <w:rPr>
                <w:rFonts w:ascii="Calibri" w:eastAsia="Times New Roman" w:hAnsi="Calibri" w:cs="Calibri"/>
                <w:color w:val="000000"/>
              </w:rPr>
            </w:pPr>
            <w:r w:rsidRPr="001557AE">
              <w:rPr>
                <w:rFonts w:ascii="Calibri" w:eastAsia="Times New Roman" w:hAnsi="Calibri" w:cs="Calibri"/>
                <w:color w:val="000000"/>
              </w:rPr>
              <w:t>2.361</w:t>
            </w:r>
          </w:p>
        </w:tc>
        <w:tc>
          <w:tcPr>
            <w:tcW w:w="1240" w:type="dxa"/>
            <w:tcBorders>
              <w:top w:val="nil"/>
              <w:left w:val="nil"/>
              <w:bottom w:val="single" w:sz="4" w:space="0" w:color="auto"/>
              <w:right w:val="single" w:sz="4" w:space="0" w:color="auto"/>
            </w:tcBorders>
            <w:shd w:val="clear" w:color="auto" w:fill="auto"/>
            <w:noWrap/>
            <w:vAlign w:val="bottom"/>
            <w:hideMark/>
          </w:tcPr>
          <w:p w:rsidR="001557AE" w:rsidRPr="001557AE" w:rsidRDefault="001557AE" w:rsidP="001557AE">
            <w:pPr>
              <w:spacing w:after="0" w:line="240" w:lineRule="auto"/>
              <w:jc w:val="center"/>
              <w:rPr>
                <w:rFonts w:ascii="Calibri" w:eastAsia="Times New Roman" w:hAnsi="Calibri" w:cs="Calibri"/>
                <w:color w:val="000000"/>
              </w:rPr>
            </w:pPr>
            <w:r w:rsidRPr="001557AE">
              <w:rPr>
                <w:rFonts w:ascii="Calibri" w:eastAsia="Times New Roman" w:hAnsi="Calibri" w:cs="Calibri"/>
                <w:color w:val="000000"/>
              </w:rPr>
              <w:t>2.366</w:t>
            </w:r>
          </w:p>
        </w:tc>
        <w:tc>
          <w:tcPr>
            <w:tcW w:w="1240" w:type="dxa"/>
            <w:tcBorders>
              <w:top w:val="nil"/>
              <w:left w:val="nil"/>
              <w:bottom w:val="single" w:sz="4" w:space="0" w:color="auto"/>
              <w:right w:val="single" w:sz="4" w:space="0" w:color="auto"/>
            </w:tcBorders>
          </w:tcPr>
          <w:p w:rsidR="001557AE" w:rsidRPr="001A62A9" w:rsidRDefault="001557AE" w:rsidP="001557AE">
            <w:pPr>
              <w:jc w:val="center"/>
            </w:pPr>
            <w:r w:rsidRPr="001A62A9">
              <w:t>2.583</w:t>
            </w:r>
          </w:p>
        </w:tc>
        <w:tc>
          <w:tcPr>
            <w:tcW w:w="1240" w:type="dxa"/>
            <w:tcBorders>
              <w:top w:val="nil"/>
              <w:left w:val="nil"/>
              <w:bottom w:val="single" w:sz="4" w:space="0" w:color="auto"/>
              <w:right w:val="single" w:sz="4" w:space="0" w:color="auto"/>
            </w:tcBorders>
          </w:tcPr>
          <w:p w:rsidR="001557AE" w:rsidRPr="001A62A9" w:rsidRDefault="001557AE" w:rsidP="001557AE">
            <w:pPr>
              <w:jc w:val="center"/>
            </w:pPr>
          </w:p>
        </w:tc>
      </w:tr>
      <w:tr w:rsidR="001557AE" w:rsidRPr="001557AE" w:rsidTr="001557AE">
        <w:trPr>
          <w:trHeight w:val="288"/>
        </w:trPr>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1557AE" w:rsidRPr="001557AE" w:rsidRDefault="001557AE" w:rsidP="001557AE">
            <w:pPr>
              <w:spacing w:after="0" w:line="240" w:lineRule="auto"/>
              <w:jc w:val="center"/>
              <w:rPr>
                <w:rFonts w:ascii="Calibri" w:eastAsia="Times New Roman" w:hAnsi="Calibri" w:cs="Calibri"/>
                <w:color w:val="000000"/>
              </w:rPr>
            </w:pPr>
            <w:r w:rsidRPr="001557AE">
              <w:rPr>
                <w:rFonts w:ascii="Calibri" w:eastAsia="Times New Roman" w:hAnsi="Calibri" w:cs="Calibri"/>
                <w:color w:val="000000"/>
              </w:rPr>
              <w:t>3.401</w:t>
            </w:r>
          </w:p>
        </w:tc>
        <w:tc>
          <w:tcPr>
            <w:tcW w:w="1200" w:type="dxa"/>
            <w:tcBorders>
              <w:top w:val="nil"/>
              <w:left w:val="nil"/>
              <w:bottom w:val="single" w:sz="4" w:space="0" w:color="auto"/>
              <w:right w:val="single" w:sz="4" w:space="0" w:color="auto"/>
            </w:tcBorders>
            <w:shd w:val="clear" w:color="auto" w:fill="auto"/>
            <w:noWrap/>
            <w:vAlign w:val="bottom"/>
            <w:hideMark/>
          </w:tcPr>
          <w:p w:rsidR="001557AE" w:rsidRPr="001557AE" w:rsidRDefault="001557AE" w:rsidP="001557AE">
            <w:pPr>
              <w:spacing w:after="0" w:line="240" w:lineRule="auto"/>
              <w:jc w:val="center"/>
              <w:rPr>
                <w:rFonts w:ascii="Calibri" w:eastAsia="Times New Roman" w:hAnsi="Calibri" w:cs="Calibri"/>
                <w:color w:val="000000"/>
              </w:rPr>
            </w:pPr>
            <w:r w:rsidRPr="001557AE">
              <w:rPr>
                <w:rFonts w:ascii="Calibri" w:eastAsia="Times New Roman" w:hAnsi="Calibri" w:cs="Calibri"/>
                <w:color w:val="000000"/>
              </w:rPr>
              <w:t>3.245</w:t>
            </w:r>
          </w:p>
        </w:tc>
        <w:tc>
          <w:tcPr>
            <w:tcW w:w="1220" w:type="dxa"/>
            <w:tcBorders>
              <w:top w:val="nil"/>
              <w:left w:val="nil"/>
              <w:bottom w:val="single" w:sz="4" w:space="0" w:color="auto"/>
              <w:right w:val="single" w:sz="4" w:space="0" w:color="auto"/>
            </w:tcBorders>
            <w:shd w:val="clear" w:color="auto" w:fill="auto"/>
            <w:noWrap/>
            <w:vAlign w:val="bottom"/>
            <w:hideMark/>
          </w:tcPr>
          <w:p w:rsidR="001557AE" w:rsidRPr="001557AE" w:rsidRDefault="001557AE" w:rsidP="001557AE">
            <w:pPr>
              <w:spacing w:after="0" w:line="240" w:lineRule="auto"/>
              <w:jc w:val="center"/>
              <w:rPr>
                <w:rFonts w:ascii="Calibri" w:eastAsia="Times New Roman" w:hAnsi="Calibri" w:cs="Calibri"/>
                <w:color w:val="000000"/>
              </w:rPr>
            </w:pPr>
            <w:r w:rsidRPr="001557AE">
              <w:rPr>
                <w:rFonts w:ascii="Calibri" w:eastAsia="Times New Roman" w:hAnsi="Calibri" w:cs="Calibri"/>
                <w:color w:val="000000"/>
              </w:rPr>
              <w:t>3.24</w:t>
            </w:r>
          </w:p>
        </w:tc>
        <w:tc>
          <w:tcPr>
            <w:tcW w:w="1240" w:type="dxa"/>
            <w:tcBorders>
              <w:top w:val="nil"/>
              <w:left w:val="nil"/>
              <w:bottom w:val="single" w:sz="4" w:space="0" w:color="auto"/>
              <w:right w:val="single" w:sz="4" w:space="0" w:color="auto"/>
            </w:tcBorders>
            <w:shd w:val="clear" w:color="auto" w:fill="auto"/>
            <w:noWrap/>
            <w:vAlign w:val="bottom"/>
            <w:hideMark/>
          </w:tcPr>
          <w:p w:rsidR="001557AE" w:rsidRPr="001557AE" w:rsidRDefault="001557AE" w:rsidP="001557AE">
            <w:pPr>
              <w:spacing w:after="0" w:line="240" w:lineRule="auto"/>
              <w:jc w:val="center"/>
              <w:rPr>
                <w:rFonts w:ascii="Calibri" w:eastAsia="Times New Roman" w:hAnsi="Calibri" w:cs="Calibri"/>
                <w:color w:val="000000"/>
              </w:rPr>
            </w:pPr>
            <w:r w:rsidRPr="001557AE">
              <w:rPr>
                <w:rFonts w:ascii="Calibri" w:eastAsia="Times New Roman" w:hAnsi="Calibri" w:cs="Calibri"/>
                <w:color w:val="000000"/>
              </w:rPr>
              <w:t>3.208</w:t>
            </w:r>
          </w:p>
        </w:tc>
        <w:tc>
          <w:tcPr>
            <w:tcW w:w="1240" w:type="dxa"/>
            <w:tcBorders>
              <w:top w:val="nil"/>
              <w:left w:val="nil"/>
              <w:bottom w:val="single" w:sz="4" w:space="0" w:color="auto"/>
              <w:right w:val="single" w:sz="4" w:space="0" w:color="auto"/>
            </w:tcBorders>
          </w:tcPr>
          <w:p w:rsidR="001557AE" w:rsidRPr="001A62A9" w:rsidRDefault="001557AE" w:rsidP="001557AE">
            <w:pPr>
              <w:jc w:val="center"/>
            </w:pPr>
            <w:r w:rsidRPr="001A62A9">
              <w:t>3.51</w:t>
            </w:r>
          </w:p>
        </w:tc>
        <w:tc>
          <w:tcPr>
            <w:tcW w:w="1240" w:type="dxa"/>
            <w:tcBorders>
              <w:top w:val="nil"/>
              <w:left w:val="nil"/>
              <w:bottom w:val="single" w:sz="4" w:space="0" w:color="auto"/>
              <w:right w:val="single" w:sz="4" w:space="0" w:color="auto"/>
            </w:tcBorders>
          </w:tcPr>
          <w:p w:rsidR="001557AE" w:rsidRPr="001A62A9" w:rsidRDefault="001557AE" w:rsidP="001557AE">
            <w:pPr>
              <w:jc w:val="center"/>
            </w:pPr>
          </w:p>
        </w:tc>
      </w:tr>
      <w:tr w:rsidR="001557AE" w:rsidRPr="001557AE" w:rsidTr="001557AE">
        <w:trPr>
          <w:trHeight w:val="288"/>
        </w:trPr>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1557AE" w:rsidRPr="001557AE" w:rsidRDefault="001557AE" w:rsidP="001557AE">
            <w:pPr>
              <w:spacing w:after="0" w:line="240" w:lineRule="auto"/>
              <w:jc w:val="center"/>
              <w:rPr>
                <w:rFonts w:ascii="Calibri" w:eastAsia="Times New Roman" w:hAnsi="Calibri" w:cs="Calibri"/>
                <w:color w:val="000000"/>
              </w:rPr>
            </w:pPr>
            <w:r w:rsidRPr="001557AE">
              <w:rPr>
                <w:rFonts w:ascii="Calibri" w:eastAsia="Times New Roman" w:hAnsi="Calibri" w:cs="Calibri"/>
                <w:color w:val="000000"/>
              </w:rPr>
              <w:t>3.59</w:t>
            </w:r>
          </w:p>
        </w:tc>
        <w:tc>
          <w:tcPr>
            <w:tcW w:w="1200" w:type="dxa"/>
            <w:tcBorders>
              <w:top w:val="nil"/>
              <w:left w:val="nil"/>
              <w:bottom w:val="single" w:sz="4" w:space="0" w:color="auto"/>
              <w:right w:val="single" w:sz="4" w:space="0" w:color="auto"/>
            </w:tcBorders>
            <w:shd w:val="clear" w:color="auto" w:fill="auto"/>
            <w:noWrap/>
            <w:vAlign w:val="bottom"/>
            <w:hideMark/>
          </w:tcPr>
          <w:p w:rsidR="001557AE" w:rsidRPr="001557AE" w:rsidRDefault="001557AE" w:rsidP="001557AE">
            <w:pPr>
              <w:spacing w:after="0" w:line="240" w:lineRule="auto"/>
              <w:jc w:val="center"/>
              <w:rPr>
                <w:rFonts w:ascii="Calibri" w:eastAsia="Times New Roman" w:hAnsi="Calibri" w:cs="Calibri"/>
                <w:color w:val="000000"/>
              </w:rPr>
            </w:pPr>
            <w:r w:rsidRPr="001557AE">
              <w:rPr>
                <w:rFonts w:ascii="Calibri" w:eastAsia="Times New Roman" w:hAnsi="Calibri" w:cs="Calibri"/>
                <w:color w:val="000000"/>
              </w:rPr>
              <w:t>3.429</w:t>
            </w:r>
          </w:p>
        </w:tc>
        <w:tc>
          <w:tcPr>
            <w:tcW w:w="1220" w:type="dxa"/>
            <w:tcBorders>
              <w:top w:val="nil"/>
              <w:left w:val="nil"/>
              <w:bottom w:val="single" w:sz="4" w:space="0" w:color="auto"/>
              <w:right w:val="single" w:sz="4" w:space="0" w:color="auto"/>
            </w:tcBorders>
            <w:shd w:val="clear" w:color="auto" w:fill="auto"/>
            <w:noWrap/>
            <w:vAlign w:val="bottom"/>
            <w:hideMark/>
          </w:tcPr>
          <w:p w:rsidR="001557AE" w:rsidRPr="001557AE" w:rsidRDefault="001557AE" w:rsidP="001557AE">
            <w:pPr>
              <w:spacing w:after="0" w:line="240" w:lineRule="auto"/>
              <w:jc w:val="center"/>
              <w:rPr>
                <w:rFonts w:ascii="Calibri" w:eastAsia="Times New Roman" w:hAnsi="Calibri" w:cs="Calibri"/>
                <w:color w:val="000000"/>
              </w:rPr>
            </w:pPr>
            <w:r w:rsidRPr="001557AE">
              <w:rPr>
                <w:rFonts w:ascii="Calibri" w:eastAsia="Times New Roman" w:hAnsi="Calibri" w:cs="Calibri"/>
                <w:color w:val="000000"/>
              </w:rPr>
              <w:t>3.434</w:t>
            </w:r>
          </w:p>
        </w:tc>
        <w:tc>
          <w:tcPr>
            <w:tcW w:w="1240" w:type="dxa"/>
            <w:tcBorders>
              <w:top w:val="nil"/>
              <w:left w:val="nil"/>
              <w:bottom w:val="single" w:sz="4" w:space="0" w:color="auto"/>
              <w:right w:val="single" w:sz="4" w:space="0" w:color="auto"/>
            </w:tcBorders>
            <w:shd w:val="clear" w:color="auto" w:fill="auto"/>
            <w:noWrap/>
            <w:vAlign w:val="bottom"/>
            <w:hideMark/>
          </w:tcPr>
          <w:p w:rsidR="001557AE" w:rsidRPr="001557AE" w:rsidRDefault="001557AE" w:rsidP="001557AE">
            <w:pPr>
              <w:spacing w:after="0" w:line="240" w:lineRule="auto"/>
              <w:jc w:val="center"/>
              <w:rPr>
                <w:rFonts w:ascii="Calibri" w:eastAsia="Times New Roman" w:hAnsi="Calibri" w:cs="Calibri"/>
                <w:color w:val="000000"/>
              </w:rPr>
            </w:pPr>
            <w:r w:rsidRPr="001557AE">
              <w:rPr>
                <w:rFonts w:ascii="Calibri" w:eastAsia="Times New Roman" w:hAnsi="Calibri" w:cs="Calibri"/>
                <w:color w:val="000000"/>
              </w:rPr>
              <w:t>3.41</w:t>
            </w:r>
          </w:p>
        </w:tc>
        <w:tc>
          <w:tcPr>
            <w:tcW w:w="1240" w:type="dxa"/>
            <w:tcBorders>
              <w:top w:val="nil"/>
              <w:left w:val="nil"/>
              <w:bottom w:val="single" w:sz="4" w:space="0" w:color="auto"/>
              <w:right w:val="single" w:sz="4" w:space="0" w:color="auto"/>
            </w:tcBorders>
          </w:tcPr>
          <w:p w:rsidR="001557AE" w:rsidRPr="001A62A9" w:rsidRDefault="001557AE" w:rsidP="001557AE">
            <w:pPr>
              <w:jc w:val="center"/>
            </w:pPr>
            <w:r w:rsidRPr="001A62A9">
              <w:t>3.754</w:t>
            </w:r>
          </w:p>
        </w:tc>
        <w:tc>
          <w:tcPr>
            <w:tcW w:w="1240" w:type="dxa"/>
            <w:tcBorders>
              <w:top w:val="nil"/>
              <w:left w:val="nil"/>
              <w:bottom w:val="single" w:sz="4" w:space="0" w:color="auto"/>
              <w:right w:val="single" w:sz="4" w:space="0" w:color="auto"/>
            </w:tcBorders>
          </w:tcPr>
          <w:p w:rsidR="001557AE" w:rsidRPr="001A62A9" w:rsidRDefault="001557AE" w:rsidP="001557AE">
            <w:pPr>
              <w:jc w:val="center"/>
            </w:pPr>
          </w:p>
        </w:tc>
      </w:tr>
      <w:tr w:rsidR="001557AE" w:rsidRPr="001557AE" w:rsidTr="001557AE">
        <w:trPr>
          <w:trHeight w:val="288"/>
        </w:trPr>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1557AE" w:rsidRPr="001557AE" w:rsidRDefault="001557AE" w:rsidP="001557AE">
            <w:pPr>
              <w:spacing w:after="0" w:line="240" w:lineRule="auto"/>
              <w:jc w:val="center"/>
              <w:rPr>
                <w:rFonts w:ascii="Calibri" w:eastAsia="Times New Roman" w:hAnsi="Calibri" w:cs="Calibri"/>
                <w:color w:val="000000"/>
              </w:rPr>
            </w:pPr>
            <w:r w:rsidRPr="001557AE">
              <w:rPr>
                <w:rFonts w:ascii="Calibri" w:eastAsia="Times New Roman" w:hAnsi="Calibri" w:cs="Calibri"/>
                <w:color w:val="000000"/>
              </w:rPr>
              <w:t>2.985</w:t>
            </w:r>
          </w:p>
        </w:tc>
        <w:tc>
          <w:tcPr>
            <w:tcW w:w="1200" w:type="dxa"/>
            <w:tcBorders>
              <w:top w:val="nil"/>
              <w:left w:val="nil"/>
              <w:bottom w:val="single" w:sz="4" w:space="0" w:color="auto"/>
              <w:right w:val="single" w:sz="4" w:space="0" w:color="auto"/>
            </w:tcBorders>
            <w:shd w:val="clear" w:color="auto" w:fill="auto"/>
            <w:noWrap/>
            <w:vAlign w:val="bottom"/>
            <w:hideMark/>
          </w:tcPr>
          <w:p w:rsidR="001557AE" w:rsidRPr="001557AE" w:rsidRDefault="001557AE" w:rsidP="001557AE">
            <w:pPr>
              <w:spacing w:after="0" w:line="240" w:lineRule="auto"/>
              <w:jc w:val="center"/>
              <w:rPr>
                <w:rFonts w:ascii="Calibri" w:eastAsia="Times New Roman" w:hAnsi="Calibri" w:cs="Calibri"/>
                <w:color w:val="000000"/>
              </w:rPr>
            </w:pPr>
            <w:r w:rsidRPr="001557AE">
              <w:rPr>
                <w:rFonts w:ascii="Calibri" w:eastAsia="Times New Roman" w:hAnsi="Calibri" w:cs="Calibri"/>
                <w:color w:val="000000"/>
              </w:rPr>
              <w:t>2.885</w:t>
            </w:r>
          </w:p>
        </w:tc>
        <w:tc>
          <w:tcPr>
            <w:tcW w:w="1220" w:type="dxa"/>
            <w:tcBorders>
              <w:top w:val="nil"/>
              <w:left w:val="nil"/>
              <w:bottom w:val="single" w:sz="4" w:space="0" w:color="auto"/>
              <w:right w:val="single" w:sz="4" w:space="0" w:color="auto"/>
            </w:tcBorders>
            <w:shd w:val="clear" w:color="auto" w:fill="auto"/>
            <w:noWrap/>
            <w:vAlign w:val="bottom"/>
            <w:hideMark/>
          </w:tcPr>
          <w:p w:rsidR="001557AE" w:rsidRPr="001557AE" w:rsidRDefault="001557AE" w:rsidP="001557AE">
            <w:pPr>
              <w:spacing w:after="0" w:line="240" w:lineRule="auto"/>
              <w:jc w:val="center"/>
              <w:rPr>
                <w:rFonts w:ascii="Calibri" w:eastAsia="Times New Roman" w:hAnsi="Calibri" w:cs="Calibri"/>
                <w:color w:val="000000"/>
              </w:rPr>
            </w:pPr>
            <w:r w:rsidRPr="001557AE">
              <w:rPr>
                <w:rFonts w:ascii="Calibri" w:eastAsia="Times New Roman" w:hAnsi="Calibri" w:cs="Calibri"/>
                <w:color w:val="000000"/>
              </w:rPr>
              <w:t>2.855</w:t>
            </w:r>
          </w:p>
        </w:tc>
        <w:tc>
          <w:tcPr>
            <w:tcW w:w="1240" w:type="dxa"/>
            <w:tcBorders>
              <w:top w:val="nil"/>
              <w:left w:val="nil"/>
              <w:bottom w:val="single" w:sz="4" w:space="0" w:color="auto"/>
              <w:right w:val="single" w:sz="4" w:space="0" w:color="auto"/>
            </w:tcBorders>
            <w:shd w:val="clear" w:color="auto" w:fill="auto"/>
            <w:noWrap/>
            <w:vAlign w:val="bottom"/>
            <w:hideMark/>
          </w:tcPr>
          <w:p w:rsidR="001557AE" w:rsidRPr="001557AE" w:rsidRDefault="001557AE" w:rsidP="001557AE">
            <w:pPr>
              <w:spacing w:after="0" w:line="240" w:lineRule="auto"/>
              <w:jc w:val="center"/>
              <w:rPr>
                <w:rFonts w:ascii="Calibri" w:eastAsia="Times New Roman" w:hAnsi="Calibri" w:cs="Calibri"/>
                <w:color w:val="000000"/>
              </w:rPr>
            </w:pPr>
            <w:r w:rsidRPr="001557AE">
              <w:rPr>
                <w:rFonts w:ascii="Calibri" w:eastAsia="Times New Roman" w:hAnsi="Calibri" w:cs="Calibri"/>
                <w:color w:val="000000"/>
              </w:rPr>
              <w:t>2.761</w:t>
            </w:r>
          </w:p>
        </w:tc>
        <w:tc>
          <w:tcPr>
            <w:tcW w:w="1240" w:type="dxa"/>
            <w:tcBorders>
              <w:top w:val="nil"/>
              <w:left w:val="nil"/>
              <w:bottom w:val="single" w:sz="4" w:space="0" w:color="auto"/>
              <w:right w:val="single" w:sz="4" w:space="0" w:color="auto"/>
            </w:tcBorders>
          </w:tcPr>
          <w:p w:rsidR="001557AE" w:rsidRPr="001A62A9" w:rsidRDefault="001557AE" w:rsidP="001557AE">
            <w:pPr>
              <w:jc w:val="center"/>
            </w:pPr>
            <w:r w:rsidRPr="001A62A9">
              <w:t>2.907</w:t>
            </w:r>
          </w:p>
        </w:tc>
        <w:tc>
          <w:tcPr>
            <w:tcW w:w="1240" w:type="dxa"/>
            <w:tcBorders>
              <w:top w:val="nil"/>
              <w:left w:val="nil"/>
              <w:bottom w:val="single" w:sz="4" w:space="0" w:color="auto"/>
              <w:right w:val="single" w:sz="4" w:space="0" w:color="auto"/>
            </w:tcBorders>
          </w:tcPr>
          <w:p w:rsidR="001557AE" w:rsidRPr="001A62A9" w:rsidRDefault="001557AE" w:rsidP="001557AE">
            <w:pPr>
              <w:jc w:val="center"/>
            </w:pPr>
          </w:p>
        </w:tc>
      </w:tr>
      <w:tr w:rsidR="001557AE" w:rsidRPr="001557AE" w:rsidTr="001557AE">
        <w:trPr>
          <w:trHeight w:val="288"/>
        </w:trPr>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1557AE" w:rsidRPr="001557AE" w:rsidRDefault="001557AE" w:rsidP="001557AE">
            <w:pPr>
              <w:spacing w:after="0" w:line="240" w:lineRule="auto"/>
              <w:jc w:val="center"/>
              <w:rPr>
                <w:rFonts w:ascii="Calibri" w:eastAsia="Times New Roman" w:hAnsi="Calibri" w:cs="Calibri"/>
                <w:color w:val="000000"/>
              </w:rPr>
            </w:pPr>
            <w:r w:rsidRPr="001557AE">
              <w:rPr>
                <w:rFonts w:ascii="Calibri" w:eastAsia="Times New Roman" w:hAnsi="Calibri" w:cs="Calibri"/>
                <w:color w:val="000000"/>
              </w:rPr>
              <w:lastRenderedPageBreak/>
              <w:t>1.136</w:t>
            </w:r>
          </w:p>
        </w:tc>
        <w:tc>
          <w:tcPr>
            <w:tcW w:w="1200" w:type="dxa"/>
            <w:tcBorders>
              <w:top w:val="nil"/>
              <w:left w:val="nil"/>
              <w:bottom w:val="single" w:sz="4" w:space="0" w:color="auto"/>
              <w:right w:val="single" w:sz="4" w:space="0" w:color="auto"/>
            </w:tcBorders>
            <w:shd w:val="clear" w:color="auto" w:fill="auto"/>
            <w:noWrap/>
            <w:vAlign w:val="bottom"/>
            <w:hideMark/>
          </w:tcPr>
          <w:p w:rsidR="001557AE" w:rsidRPr="001557AE" w:rsidRDefault="001557AE" w:rsidP="001557AE">
            <w:pPr>
              <w:spacing w:after="0" w:line="240" w:lineRule="auto"/>
              <w:jc w:val="center"/>
              <w:rPr>
                <w:rFonts w:ascii="Calibri" w:eastAsia="Times New Roman" w:hAnsi="Calibri" w:cs="Calibri"/>
                <w:color w:val="000000"/>
              </w:rPr>
            </w:pPr>
            <w:r w:rsidRPr="001557AE">
              <w:rPr>
                <w:rFonts w:ascii="Calibri" w:eastAsia="Times New Roman" w:hAnsi="Calibri" w:cs="Calibri"/>
                <w:color w:val="000000"/>
              </w:rPr>
              <w:t>0.933</w:t>
            </w:r>
          </w:p>
        </w:tc>
        <w:tc>
          <w:tcPr>
            <w:tcW w:w="1220" w:type="dxa"/>
            <w:tcBorders>
              <w:top w:val="nil"/>
              <w:left w:val="nil"/>
              <w:bottom w:val="single" w:sz="4" w:space="0" w:color="auto"/>
              <w:right w:val="single" w:sz="4" w:space="0" w:color="auto"/>
            </w:tcBorders>
            <w:shd w:val="clear" w:color="auto" w:fill="auto"/>
            <w:noWrap/>
            <w:vAlign w:val="bottom"/>
            <w:hideMark/>
          </w:tcPr>
          <w:p w:rsidR="001557AE" w:rsidRPr="001557AE" w:rsidRDefault="001557AE" w:rsidP="001557AE">
            <w:pPr>
              <w:spacing w:after="0" w:line="240" w:lineRule="auto"/>
              <w:jc w:val="center"/>
              <w:rPr>
                <w:rFonts w:ascii="Calibri" w:eastAsia="Times New Roman" w:hAnsi="Calibri" w:cs="Calibri"/>
                <w:color w:val="000000"/>
              </w:rPr>
            </w:pPr>
            <w:r w:rsidRPr="001557AE">
              <w:rPr>
                <w:rFonts w:ascii="Calibri" w:eastAsia="Times New Roman" w:hAnsi="Calibri" w:cs="Calibri"/>
                <w:color w:val="000000"/>
              </w:rPr>
              <w:t>1.136</w:t>
            </w:r>
          </w:p>
        </w:tc>
        <w:tc>
          <w:tcPr>
            <w:tcW w:w="1240" w:type="dxa"/>
            <w:tcBorders>
              <w:top w:val="nil"/>
              <w:left w:val="nil"/>
              <w:bottom w:val="single" w:sz="4" w:space="0" w:color="auto"/>
              <w:right w:val="single" w:sz="4" w:space="0" w:color="auto"/>
            </w:tcBorders>
            <w:shd w:val="clear" w:color="auto" w:fill="auto"/>
            <w:noWrap/>
            <w:vAlign w:val="bottom"/>
            <w:hideMark/>
          </w:tcPr>
          <w:p w:rsidR="001557AE" w:rsidRPr="001557AE" w:rsidRDefault="001557AE" w:rsidP="001557AE">
            <w:pPr>
              <w:spacing w:after="0" w:line="240" w:lineRule="auto"/>
              <w:jc w:val="center"/>
              <w:rPr>
                <w:rFonts w:ascii="Calibri" w:eastAsia="Times New Roman" w:hAnsi="Calibri" w:cs="Calibri"/>
                <w:color w:val="000000"/>
              </w:rPr>
            </w:pPr>
            <w:r w:rsidRPr="001557AE">
              <w:rPr>
                <w:rFonts w:ascii="Calibri" w:eastAsia="Times New Roman" w:hAnsi="Calibri" w:cs="Calibri"/>
                <w:color w:val="000000"/>
              </w:rPr>
              <w:t>1.26</w:t>
            </w:r>
          </w:p>
        </w:tc>
        <w:tc>
          <w:tcPr>
            <w:tcW w:w="1240" w:type="dxa"/>
            <w:tcBorders>
              <w:top w:val="nil"/>
              <w:left w:val="nil"/>
              <w:bottom w:val="single" w:sz="4" w:space="0" w:color="auto"/>
              <w:right w:val="single" w:sz="4" w:space="0" w:color="auto"/>
            </w:tcBorders>
          </w:tcPr>
          <w:p w:rsidR="001557AE" w:rsidRPr="001A62A9" w:rsidRDefault="001557AE" w:rsidP="001557AE">
            <w:pPr>
              <w:jc w:val="center"/>
            </w:pPr>
            <w:r w:rsidRPr="001A62A9">
              <w:t>1.275</w:t>
            </w:r>
          </w:p>
        </w:tc>
        <w:tc>
          <w:tcPr>
            <w:tcW w:w="1240" w:type="dxa"/>
            <w:tcBorders>
              <w:top w:val="nil"/>
              <w:left w:val="nil"/>
              <w:bottom w:val="single" w:sz="4" w:space="0" w:color="auto"/>
              <w:right w:val="single" w:sz="4" w:space="0" w:color="auto"/>
            </w:tcBorders>
          </w:tcPr>
          <w:p w:rsidR="001557AE" w:rsidRPr="001A62A9" w:rsidRDefault="001557AE" w:rsidP="001557AE">
            <w:pPr>
              <w:jc w:val="center"/>
            </w:pPr>
          </w:p>
        </w:tc>
      </w:tr>
      <w:tr w:rsidR="001557AE" w:rsidRPr="001557AE" w:rsidTr="001557AE">
        <w:trPr>
          <w:trHeight w:val="288"/>
        </w:trPr>
        <w:tc>
          <w:tcPr>
            <w:tcW w:w="1222" w:type="dxa"/>
            <w:tcBorders>
              <w:top w:val="nil"/>
              <w:left w:val="single" w:sz="4" w:space="0" w:color="auto"/>
              <w:bottom w:val="single" w:sz="4" w:space="0" w:color="auto"/>
              <w:right w:val="single" w:sz="4" w:space="0" w:color="auto"/>
            </w:tcBorders>
            <w:shd w:val="clear" w:color="000000" w:fill="92D050"/>
            <w:noWrap/>
            <w:vAlign w:val="bottom"/>
            <w:hideMark/>
          </w:tcPr>
          <w:p w:rsidR="001557AE" w:rsidRPr="001557AE" w:rsidRDefault="001557AE" w:rsidP="001557AE">
            <w:pPr>
              <w:spacing w:after="0" w:line="240" w:lineRule="auto"/>
              <w:jc w:val="center"/>
              <w:rPr>
                <w:rFonts w:ascii="Calibri" w:eastAsia="Times New Roman" w:hAnsi="Calibri" w:cs="Calibri"/>
                <w:b/>
                <w:bCs/>
                <w:color w:val="000000"/>
              </w:rPr>
            </w:pPr>
            <w:r w:rsidRPr="001557AE">
              <w:rPr>
                <w:rFonts w:ascii="Calibri" w:eastAsia="Times New Roman" w:hAnsi="Calibri" w:cs="Calibri"/>
                <w:b/>
                <w:bCs/>
                <w:color w:val="000000"/>
              </w:rPr>
              <w:t>18.868</w:t>
            </w:r>
          </w:p>
        </w:tc>
        <w:tc>
          <w:tcPr>
            <w:tcW w:w="1200" w:type="dxa"/>
            <w:tcBorders>
              <w:top w:val="nil"/>
              <w:left w:val="nil"/>
              <w:bottom w:val="single" w:sz="4" w:space="0" w:color="auto"/>
              <w:right w:val="single" w:sz="4" w:space="0" w:color="auto"/>
            </w:tcBorders>
            <w:shd w:val="clear" w:color="000000" w:fill="92D050"/>
            <w:noWrap/>
            <w:vAlign w:val="bottom"/>
            <w:hideMark/>
          </w:tcPr>
          <w:p w:rsidR="001557AE" w:rsidRPr="001557AE" w:rsidRDefault="001557AE" w:rsidP="001557AE">
            <w:pPr>
              <w:spacing w:after="0" w:line="240" w:lineRule="auto"/>
              <w:jc w:val="center"/>
              <w:rPr>
                <w:rFonts w:ascii="Calibri" w:eastAsia="Times New Roman" w:hAnsi="Calibri" w:cs="Calibri"/>
                <w:b/>
                <w:bCs/>
                <w:color w:val="000000"/>
              </w:rPr>
            </w:pPr>
            <w:r w:rsidRPr="001557AE">
              <w:rPr>
                <w:rFonts w:ascii="Calibri" w:eastAsia="Times New Roman" w:hAnsi="Calibri" w:cs="Calibri"/>
                <w:b/>
                <w:bCs/>
                <w:color w:val="000000"/>
              </w:rPr>
              <w:t>17.997</w:t>
            </w:r>
          </w:p>
        </w:tc>
        <w:tc>
          <w:tcPr>
            <w:tcW w:w="1220" w:type="dxa"/>
            <w:tcBorders>
              <w:top w:val="nil"/>
              <w:left w:val="nil"/>
              <w:bottom w:val="single" w:sz="4" w:space="0" w:color="auto"/>
              <w:right w:val="single" w:sz="4" w:space="0" w:color="auto"/>
            </w:tcBorders>
            <w:shd w:val="clear" w:color="000000" w:fill="92D050"/>
            <w:noWrap/>
            <w:vAlign w:val="bottom"/>
            <w:hideMark/>
          </w:tcPr>
          <w:p w:rsidR="001557AE" w:rsidRPr="001557AE" w:rsidRDefault="001557AE" w:rsidP="001557AE">
            <w:pPr>
              <w:spacing w:after="0" w:line="240" w:lineRule="auto"/>
              <w:jc w:val="center"/>
              <w:rPr>
                <w:rFonts w:ascii="Calibri" w:eastAsia="Times New Roman" w:hAnsi="Calibri" w:cs="Calibri"/>
                <w:b/>
                <w:bCs/>
                <w:color w:val="000000"/>
              </w:rPr>
            </w:pPr>
            <w:r w:rsidRPr="001557AE">
              <w:rPr>
                <w:rFonts w:ascii="Calibri" w:eastAsia="Times New Roman" w:hAnsi="Calibri" w:cs="Calibri"/>
                <w:b/>
                <w:bCs/>
                <w:color w:val="000000"/>
              </w:rPr>
              <w:t>18.186</w:t>
            </w:r>
          </w:p>
        </w:tc>
        <w:tc>
          <w:tcPr>
            <w:tcW w:w="1240" w:type="dxa"/>
            <w:tcBorders>
              <w:top w:val="nil"/>
              <w:left w:val="nil"/>
              <w:bottom w:val="single" w:sz="4" w:space="0" w:color="auto"/>
              <w:right w:val="single" w:sz="4" w:space="0" w:color="auto"/>
            </w:tcBorders>
            <w:shd w:val="clear" w:color="000000" w:fill="92D050"/>
            <w:noWrap/>
            <w:vAlign w:val="bottom"/>
            <w:hideMark/>
          </w:tcPr>
          <w:p w:rsidR="001557AE" w:rsidRPr="001557AE" w:rsidRDefault="001557AE" w:rsidP="001557AE">
            <w:pPr>
              <w:spacing w:after="0" w:line="240" w:lineRule="auto"/>
              <w:jc w:val="center"/>
              <w:rPr>
                <w:rFonts w:ascii="Calibri" w:eastAsia="Times New Roman" w:hAnsi="Calibri" w:cs="Calibri"/>
                <w:b/>
                <w:bCs/>
                <w:color w:val="000000"/>
              </w:rPr>
            </w:pPr>
            <w:r w:rsidRPr="001557AE">
              <w:rPr>
                <w:rFonts w:ascii="Calibri" w:eastAsia="Times New Roman" w:hAnsi="Calibri" w:cs="Calibri"/>
                <w:b/>
                <w:bCs/>
                <w:color w:val="000000"/>
              </w:rPr>
              <w:t>18.116</w:t>
            </w:r>
          </w:p>
        </w:tc>
        <w:tc>
          <w:tcPr>
            <w:tcW w:w="1240" w:type="dxa"/>
            <w:tcBorders>
              <w:top w:val="nil"/>
              <w:left w:val="nil"/>
              <w:bottom w:val="single" w:sz="4" w:space="0" w:color="auto"/>
              <w:right w:val="single" w:sz="4" w:space="0" w:color="auto"/>
            </w:tcBorders>
            <w:shd w:val="clear" w:color="000000" w:fill="92D050"/>
          </w:tcPr>
          <w:p w:rsidR="001557AE" w:rsidRPr="001557AE" w:rsidRDefault="001557AE" w:rsidP="001557AE">
            <w:pPr>
              <w:jc w:val="center"/>
              <w:rPr>
                <w:b/>
              </w:rPr>
            </w:pPr>
            <w:r w:rsidRPr="001557AE">
              <w:rPr>
                <w:b/>
              </w:rPr>
              <w:t>18.94</w:t>
            </w:r>
          </w:p>
        </w:tc>
        <w:tc>
          <w:tcPr>
            <w:tcW w:w="1240" w:type="dxa"/>
            <w:tcBorders>
              <w:top w:val="nil"/>
              <w:left w:val="nil"/>
              <w:bottom w:val="single" w:sz="4" w:space="0" w:color="auto"/>
              <w:right w:val="single" w:sz="4" w:space="0" w:color="auto"/>
            </w:tcBorders>
            <w:shd w:val="clear" w:color="000000" w:fill="92D050"/>
          </w:tcPr>
          <w:p w:rsidR="001557AE" w:rsidRPr="001557AE" w:rsidRDefault="001557AE" w:rsidP="001557AE">
            <w:pPr>
              <w:jc w:val="center"/>
              <w:rPr>
                <w:b/>
              </w:rPr>
            </w:pPr>
          </w:p>
        </w:tc>
      </w:tr>
      <w:tr w:rsidR="001557AE" w:rsidRPr="001557AE" w:rsidTr="001557AE">
        <w:trPr>
          <w:trHeight w:val="288"/>
        </w:trPr>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1557AE" w:rsidRPr="001557AE" w:rsidRDefault="001557AE" w:rsidP="001557AE">
            <w:pPr>
              <w:spacing w:after="0" w:line="240" w:lineRule="auto"/>
              <w:rPr>
                <w:rFonts w:ascii="Calibri" w:eastAsia="Times New Roman" w:hAnsi="Calibri" w:cs="Calibri"/>
                <w:color w:val="000000"/>
              </w:rPr>
            </w:pPr>
            <w:r w:rsidRPr="001557AE">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1557AE" w:rsidRPr="001557AE" w:rsidRDefault="001557AE" w:rsidP="001557AE">
            <w:pPr>
              <w:spacing w:after="0" w:line="240" w:lineRule="auto"/>
              <w:rPr>
                <w:rFonts w:ascii="Calibri" w:eastAsia="Times New Roman" w:hAnsi="Calibri" w:cs="Calibri"/>
                <w:color w:val="000000"/>
              </w:rPr>
            </w:pPr>
            <w:r w:rsidRPr="001557AE">
              <w:rPr>
                <w:rFonts w:ascii="Calibri" w:eastAsia="Times New Roman" w:hAnsi="Calibri" w:cs="Calibri"/>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1557AE" w:rsidRPr="001557AE" w:rsidRDefault="001557AE" w:rsidP="001557AE">
            <w:pPr>
              <w:spacing w:after="0" w:line="240" w:lineRule="auto"/>
              <w:rPr>
                <w:rFonts w:ascii="Calibri" w:eastAsia="Times New Roman" w:hAnsi="Calibri" w:cs="Calibri"/>
                <w:color w:val="000000"/>
              </w:rPr>
            </w:pPr>
            <w:r w:rsidRPr="001557AE">
              <w:rPr>
                <w:rFonts w:ascii="Calibri" w:eastAsia="Times New Roman"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1557AE" w:rsidRPr="001557AE" w:rsidRDefault="001557AE" w:rsidP="001557AE">
            <w:pPr>
              <w:spacing w:after="0" w:line="240" w:lineRule="auto"/>
              <w:rPr>
                <w:rFonts w:ascii="Calibri" w:eastAsia="Times New Roman" w:hAnsi="Calibri" w:cs="Calibri"/>
                <w:color w:val="000000"/>
              </w:rPr>
            </w:pPr>
            <w:r w:rsidRPr="001557AE">
              <w:rPr>
                <w:rFonts w:ascii="Calibri" w:eastAsia="Times New Roman" w:hAnsi="Calibri" w:cs="Calibri"/>
                <w:color w:val="000000"/>
              </w:rPr>
              <w:t> </w:t>
            </w:r>
          </w:p>
        </w:tc>
        <w:tc>
          <w:tcPr>
            <w:tcW w:w="1240" w:type="dxa"/>
            <w:tcBorders>
              <w:top w:val="nil"/>
              <w:left w:val="nil"/>
              <w:bottom w:val="single" w:sz="4" w:space="0" w:color="auto"/>
              <w:right w:val="single" w:sz="4" w:space="0" w:color="auto"/>
            </w:tcBorders>
          </w:tcPr>
          <w:p w:rsidR="001557AE" w:rsidRPr="001557AE" w:rsidRDefault="001557AE" w:rsidP="001557AE">
            <w:pPr>
              <w:spacing w:after="0" w:line="240" w:lineRule="auto"/>
              <w:rPr>
                <w:rFonts w:ascii="Calibri" w:eastAsia="Times New Roman" w:hAnsi="Calibri" w:cs="Calibri"/>
                <w:color w:val="000000"/>
              </w:rPr>
            </w:pPr>
          </w:p>
        </w:tc>
        <w:tc>
          <w:tcPr>
            <w:tcW w:w="1240" w:type="dxa"/>
            <w:tcBorders>
              <w:top w:val="nil"/>
              <w:left w:val="nil"/>
              <w:bottom w:val="single" w:sz="4" w:space="0" w:color="auto"/>
              <w:right w:val="single" w:sz="4" w:space="0" w:color="auto"/>
            </w:tcBorders>
          </w:tcPr>
          <w:p w:rsidR="001557AE" w:rsidRPr="001557AE" w:rsidRDefault="001557AE" w:rsidP="001557AE">
            <w:pPr>
              <w:spacing w:after="0" w:line="240" w:lineRule="auto"/>
              <w:rPr>
                <w:rFonts w:ascii="Calibri" w:eastAsia="Times New Roman" w:hAnsi="Calibri" w:cs="Calibri"/>
                <w:color w:val="000000"/>
              </w:rPr>
            </w:pPr>
          </w:p>
        </w:tc>
      </w:tr>
      <w:tr w:rsidR="001557AE" w:rsidRPr="001557AE" w:rsidTr="001557AE">
        <w:trPr>
          <w:trHeight w:val="288"/>
        </w:trPr>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1557AE" w:rsidRPr="001557AE" w:rsidRDefault="001557AE" w:rsidP="001557AE">
            <w:pPr>
              <w:spacing w:after="0" w:line="240" w:lineRule="auto"/>
              <w:jc w:val="right"/>
              <w:rPr>
                <w:rFonts w:ascii="Calibri" w:eastAsia="Times New Roman" w:hAnsi="Calibri" w:cs="Calibri"/>
                <w:color w:val="000000"/>
              </w:rPr>
            </w:pPr>
            <w:r w:rsidRPr="001557AE">
              <w:rPr>
                <w:rFonts w:ascii="Calibri" w:eastAsia="Times New Roman" w:hAnsi="Calibri" w:cs="Calibri"/>
                <w:color w:val="000000"/>
              </w:rPr>
              <w:t>27,185.00</w:t>
            </w:r>
          </w:p>
        </w:tc>
        <w:tc>
          <w:tcPr>
            <w:tcW w:w="1200" w:type="dxa"/>
            <w:tcBorders>
              <w:top w:val="nil"/>
              <w:left w:val="nil"/>
              <w:bottom w:val="single" w:sz="4" w:space="0" w:color="auto"/>
              <w:right w:val="single" w:sz="4" w:space="0" w:color="auto"/>
            </w:tcBorders>
            <w:shd w:val="clear" w:color="auto" w:fill="auto"/>
            <w:noWrap/>
            <w:vAlign w:val="bottom"/>
            <w:hideMark/>
          </w:tcPr>
          <w:p w:rsidR="001557AE" w:rsidRPr="001557AE" w:rsidRDefault="001557AE" w:rsidP="001557AE">
            <w:pPr>
              <w:spacing w:after="0" w:line="240" w:lineRule="auto"/>
              <w:jc w:val="center"/>
              <w:rPr>
                <w:rFonts w:ascii="Calibri" w:eastAsia="Times New Roman" w:hAnsi="Calibri" w:cs="Calibri"/>
                <w:color w:val="000000"/>
              </w:rPr>
            </w:pPr>
            <w:r w:rsidRPr="001557AE">
              <w:rPr>
                <w:rFonts w:ascii="Calibri" w:eastAsia="Times New Roman" w:hAnsi="Calibri" w:cs="Calibri"/>
                <w:color w:val="000000"/>
              </w:rPr>
              <w:t>26,990</w:t>
            </w:r>
          </w:p>
        </w:tc>
        <w:tc>
          <w:tcPr>
            <w:tcW w:w="1220" w:type="dxa"/>
            <w:tcBorders>
              <w:top w:val="nil"/>
              <w:left w:val="nil"/>
              <w:bottom w:val="single" w:sz="4" w:space="0" w:color="auto"/>
              <w:right w:val="single" w:sz="4" w:space="0" w:color="auto"/>
            </w:tcBorders>
            <w:shd w:val="clear" w:color="auto" w:fill="auto"/>
            <w:noWrap/>
            <w:vAlign w:val="bottom"/>
            <w:hideMark/>
          </w:tcPr>
          <w:p w:rsidR="001557AE" w:rsidRPr="001557AE" w:rsidRDefault="001557AE" w:rsidP="001557AE">
            <w:pPr>
              <w:spacing w:after="0" w:line="240" w:lineRule="auto"/>
              <w:jc w:val="center"/>
              <w:rPr>
                <w:rFonts w:ascii="Calibri" w:eastAsia="Times New Roman" w:hAnsi="Calibri" w:cs="Calibri"/>
                <w:color w:val="000000"/>
              </w:rPr>
            </w:pPr>
            <w:r w:rsidRPr="001557AE">
              <w:rPr>
                <w:rFonts w:ascii="Calibri" w:eastAsia="Times New Roman" w:hAnsi="Calibri" w:cs="Calibri"/>
                <w:color w:val="000000"/>
              </w:rPr>
              <w:t>27,718</w:t>
            </w:r>
          </w:p>
        </w:tc>
        <w:tc>
          <w:tcPr>
            <w:tcW w:w="1240" w:type="dxa"/>
            <w:tcBorders>
              <w:top w:val="nil"/>
              <w:left w:val="nil"/>
              <w:bottom w:val="single" w:sz="4" w:space="0" w:color="auto"/>
              <w:right w:val="single" w:sz="4" w:space="0" w:color="auto"/>
            </w:tcBorders>
            <w:shd w:val="clear" w:color="auto" w:fill="auto"/>
            <w:noWrap/>
            <w:vAlign w:val="bottom"/>
            <w:hideMark/>
          </w:tcPr>
          <w:p w:rsidR="001557AE" w:rsidRPr="001557AE" w:rsidRDefault="001557AE" w:rsidP="001557AE">
            <w:pPr>
              <w:spacing w:after="0" w:line="240" w:lineRule="auto"/>
              <w:jc w:val="center"/>
              <w:rPr>
                <w:rFonts w:ascii="Calibri" w:eastAsia="Times New Roman" w:hAnsi="Calibri" w:cs="Calibri"/>
                <w:color w:val="000000"/>
              </w:rPr>
            </w:pPr>
            <w:r w:rsidRPr="001557AE">
              <w:rPr>
                <w:rFonts w:ascii="Calibri" w:eastAsia="Times New Roman" w:hAnsi="Calibri" w:cs="Calibri"/>
                <w:color w:val="000000"/>
              </w:rPr>
              <w:t>27,449</w:t>
            </w:r>
          </w:p>
        </w:tc>
        <w:tc>
          <w:tcPr>
            <w:tcW w:w="1240" w:type="dxa"/>
            <w:tcBorders>
              <w:top w:val="nil"/>
              <w:left w:val="nil"/>
              <w:bottom w:val="single" w:sz="4" w:space="0" w:color="auto"/>
              <w:right w:val="single" w:sz="4" w:space="0" w:color="auto"/>
            </w:tcBorders>
          </w:tcPr>
          <w:p w:rsidR="001557AE" w:rsidRPr="001557AE" w:rsidRDefault="001557AE" w:rsidP="001557AE">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n/a </w:t>
            </w:r>
          </w:p>
        </w:tc>
        <w:tc>
          <w:tcPr>
            <w:tcW w:w="1240" w:type="dxa"/>
            <w:tcBorders>
              <w:top w:val="nil"/>
              <w:left w:val="nil"/>
              <w:bottom w:val="single" w:sz="4" w:space="0" w:color="auto"/>
              <w:right w:val="single" w:sz="4" w:space="0" w:color="auto"/>
            </w:tcBorders>
          </w:tcPr>
          <w:p w:rsidR="001557AE" w:rsidRDefault="001557AE" w:rsidP="001557AE">
            <w:pPr>
              <w:spacing w:after="0" w:line="240" w:lineRule="auto"/>
              <w:jc w:val="center"/>
              <w:rPr>
                <w:rFonts w:ascii="Calibri" w:eastAsia="Times New Roman" w:hAnsi="Calibri" w:cs="Calibri"/>
                <w:color w:val="000000"/>
              </w:rPr>
            </w:pPr>
          </w:p>
        </w:tc>
      </w:tr>
      <w:tr w:rsidR="001557AE" w:rsidRPr="001557AE" w:rsidTr="001557AE">
        <w:trPr>
          <w:trHeight w:val="288"/>
        </w:trPr>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1557AE" w:rsidRPr="001557AE" w:rsidRDefault="001557AE" w:rsidP="001557AE">
            <w:pPr>
              <w:spacing w:after="0" w:line="240" w:lineRule="auto"/>
              <w:jc w:val="right"/>
              <w:rPr>
                <w:rFonts w:ascii="Calibri" w:eastAsia="Times New Roman" w:hAnsi="Calibri" w:cs="Calibri"/>
                <w:color w:val="000000"/>
              </w:rPr>
            </w:pPr>
            <w:r w:rsidRPr="001557AE">
              <w:rPr>
                <w:rFonts w:ascii="Calibri" w:eastAsia="Times New Roman" w:hAnsi="Calibri" w:cs="Calibri"/>
                <w:color w:val="000000"/>
              </w:rPr>
              <w:t xml:space="preserve">$5,094.36 </w:t>
            </w:r>
          </w:p>
        </w:tc>
        <w:tc>
          <w:tcPr>
            <w:tcW w:w="1200" w:type="dxa"/>
            <w:tcBorders>
              <w:top w:val="nil"/>
              <w:left w:val="nil"/>
              <w:bottom w:val="single" w:sz="4" w:space="0" w:color="auto"/>
              <w:right w:val="single" w:sz="4" w:space="0" w:color="auto"/>
            </w:tcBorders>
            <w:shd w:val="clear" w:color="auto" w:fill="auto"/>
            <w:noWrap/>
            <w:vAlign w:val="bottom"/>
            <w:hideMark/>
          </w:tcPr>
          <w:p w:rsidR="001557AE" w:rsidRPr="001557AE" w:rsidRDefault="001557AE" w:rsidP="001557AE">
            <w:pPr>
              <w:spacing w:after="0" w:line="240" w:lineRule="auto"/>
              <w:jc w:val="right"/>
              <w:rPr>
                <w:rFonts w:ascii="Calibri" w:eastAsia="Times New Roman" w:hAnsi="Calibri" w:cs="Calibri"/>
                <w:color w:val="000000"/>
              </w:rPr>
            </w:pPr>
            <w:r w:rsidRPr="001557AE">
              <w:rPr>
                <w:rFonts w:ascii="Calibri" w:eastAsia="Times New Roman" w:hAnsi="Calibri" w:cs="Calibri"/>
                <w:color w:val="000000"/>
              </w:rPr>
              <w:t xml:space="preserve">$4,859.19 </w:t>
            </w:r>
          </w:p>
        </w:tc>
        <w:tc>
          <w:tcPr>
            <w:tcW w:w="1220" w:type="dxa"/>
            <w:tcBorders>
              <w:top w:val="nil"/>
              <w:left w:val="nil"/>
              <w:bottom w:val="single" w:sz="4" w:space="0" w:color="auto"/>
              <w:right w:val="single" w:sz="4" w:space="0" w:color="auto"/>
            </w:tcBorders>
            <w:shd w:val="clear" w:color="auto" w:fill="auto"/>
            <w:noWrap/>
            <w:vAlign w:val="bottom"/>
            <w:hideMark/>
          </w:tcPr>
          <w:p w:rsidR="001557AE" w:rsidRPr="001557AE" w:rsidRDefault="001557AE" w:rsidP="001557AE">
            <w:pPr>
              <w:spacing w:after="0" w:line="240" w:lineRule="auto"/>
              <w:jc w:val="right"/>
              <w:rPr>
                <w:rFonts w:ascii="Calibri" w:eastAsia="Times New Roman" w:hAnsi="Calibri" w:cs="Calibri"/>
                <w:color w:val="000000"/>
              </w:rPr>
            </w:pPr>
            <w:r w:rsidRPr="001557AE">
              <w:rPr>
                <w:rFonts w:ascii="Calibri" w:eastAsia="Times New Roman" w:hAnsi="Calibri" w:cs="Calibri"/>
                <w:color w:val="000000"/>
              </w:rPr>
              <w:t xml:space="preserve">$4,910.22 </w:t>
            </w:r>
          </w:p>
        </w:tc>
        <w:tc>
          <w:tcPr>
            <w:tcW w:w="1240" w:type="dxa"/>
            <w:tcBorders>
              <w:top w:val="nil"/>
              <w:left w:val="nil"/>
              <w:bottom w:val="single" w:sz="4" w:space="0" w:color="auto"/>
              <w:right w:val="single" w:sz="4" w:space="0" w:color="auto"/>
            </w:tcBorders>
            <w:shd w:val="clear" w:color="auto" w:fill="auto"/>
            <w:noWrap/>
            <w:vAlign w:val="bottom"/>
            <w:hideMark/>
          </w:tcPr>
          <w:p w:rsidR="001557AE" w:rsidRPr="001557AE" w:rsidRDefault="001557AE" w:rsidP="001557AE">
            <w:pPr>
              <w:spacing w:after="0" w:line="240" w:lineRule="auto"/>
              <w:jc w:val="right"/>
              <w:rPr>
                <w:rFonts w:ascii="Calibri" w:eastAsia="Times New Roman" w:hAnsi="Calibri" w:cs="Calibri"/>
                <w:color w:val="000000"/>
              </w:rPr>
            </w:pPr>
            <w:r w:rsidRPr="001557AE">
              <w:rPr>
                <w:rFonts w:ascii="Calibri" w:eastAsia="Times New Roman" w:hAnsi="Calibri" w:cs="Calibri"/>
                <w:color w:val="000000"/>
              </w:rPr>
              <w:t xml:space="preserve">$4,891.32 </w:t>
            </w:r>
          </w:p>
        </w:tc>
        <w:tc>
          <w:tcPr>
            <w:tcW w:w="1240" w:type="dxa"/>
            <w:tcBorders>
              <w:top w:val="nil"/>
              <w:left w:val="nil"/>
              <w:bottom w:val="single" w:sz="4" w:space="0" w:color="auto"/>
              <w:right w:val="single" w:sz="4" w:space="0" w:color="auto"/>
            </w:tcBorders>
          </w:tcPr>
          <w:p w:rsidR="001557AE" w:rsidRPr="001557AE" w:rsidRDefault="001557AE" w:rsidP="001557AE">
            <w:pPr>
              <w:spacing w:after="0" w:line="240" w:lineRule="auto"/>
              <w:jc w:val="right"/>
              <w:rPr>
                <w:rFonts w:ascii="Calibri" w:eastAsia="Times New Roman" w:hAnsi="Calibri" w:cs="Calibri"/>
                <w:color w:val="000000"/>
              </w:rPr>
            </w:pPr>
            <w:r>
              <w:rPr>
                <w:rFonts w:ascii="Calibri" w:eastAsia="Times New Roman" w:hAnsi="Calibri" w:cs="Calibri"/>
                <w:color w:val="000000"/>
              </w:rPr>
              <w:t>$5,113.80</w:t>
            </w:r>
          </w:p>
        </w:tc>
        <w:tc>
          <w:tcPr>
            <w:tcW w:w="1240" w:type="dxa"/>
            <w:tcBorders>
              <w:top w:val="nil"/>
              <w:left w:val="nil"/>
              <w:bottom w:val="single" w:sz="4" w:space="0" w:color="auto"/>
              <w:right w:val="single" w:sz="4" w:space="0" w:color="auto"/>
            </w:tcBorders>
          </w:tcPr>
          <w:p w:rsidR="001557AE" w:rsidRDefault="001557AE" w:rsidP="001557AE">
            <w:pPr>
              <w:spacing w:after="0" w:line="240" w:lineRule="auto"/>
              <w:jc w:val="right"/>
              <w:rPr>
                <w:rFonts w:ascii="Calibri" w:eastAsia="Times New Roman" w:hAnsi="Calibri" w:cs="Calibri"/>
                <w:color w:val="000000"/>
              </w:rPr>
            </w:pPr>
          </w:p>
        </w:tc>
      </w:tr>
    </w:tbl>
    <w:p w:rsidR="001557AE" w:rsidRPr="00F37ADF" w:rsidRDefault="001557AE" w:rsidP="00F37ADF">
      <w:pPr>
        <w:spacing w:after="0" w:line="240" w:lineRule="auto"/>
        <w:contextualSpacing/>
        <w:rPr>
          <w:b/>
        </w:rPr>
      </w:pPr>
    </w:p>
    <w:sectPr w:rsidR="001557AE" w:rsidRPr="00F37A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26858"/>
    <w:multiLevelType w:val="hybridMultilevel"/>
    <w:tmpl w:val="02FCF3B4"/>
    <w:lvl w:ilvl="0" w:tplc="6FFA57A0">
      <w:start w:val="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43"/>
    <w:rsid w:val="001557AE"/>
    <w:rsid w:val="0020164A"/>
    <w:rsid w:val="002D35AA"/>
    <w:rsid w:val="00311042"/>
    <w:rsid w:val="00805B43"/>
    <w:rsid w:val="008866F4"/>
    <w:rsid w:val="00AA3E22"/>
    <w:rsid w:val="00B365E6"/>
    <w:rsid w:val="00C3707C"/>
    <w:rsid w:val="00C540C8"/>
    <w:rsid w:val="00DA713D"/>
    <w:rsid w:val="00F37ADF"/>
    <w:rsid w:val="00F878BB"/>
    <w:rsid w:val="00FD7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F6B4A"/>
  <w15:chartTrackingRefBased/>
  <w15:docId w15:val="{7464141A-4565-4508-A70B-83F207ED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7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35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17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2021-02-25T23:27:00Z</dcterms:created>
  <dcterms:modified xsi:type="dcterms:W3CDTF">2021-02-26T03:58:00Z</dcterms:modified>
</cp:coreProperties>
</file>