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397"/>
        <w:gridCol w:w="6683"/>
      </w:tblGrid>
      <w:tr w:rsidR="00E20574" w:rsidRPr="000B19E1" w:rsidTr="0021186E">
        <w:trPr>
          <w:trHeight w:hRule="exact" w:val="360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:rsidR="00E20574" w:rsidRPr="000B19E1" w:rsidRDefault="00E20574" w:rsidP="00FC6569">
            <w:pPr>
              <w:rPr>
                <w:sz w:val="20"/>
                <w:szCs w:val="20"/>
              </w:rPr>
            </w:pPr>
          </w:p>
        </w:tc>
      </w:tr>
      <w:tr w:rsidR="00AA62B5" w:rsidRPr="000B19E1" w:rsidTr="00722BDF">
        <w:trPr>
          <w:trHeight w:hRule="exact" w:val="1440"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20574" w:rsidRPr="00FC7DB9" w:rsidRDefault="00FC7DB9" w:rsidP="009C6EC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434584">
              <w:rPr>
                <w:b/>
                <w:spacing w:val="100"/>
                <w:sz w:val="24"/>
                <w:szCs w:val="24"/>
              </w:rPr>
              <w:t>-A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20574" w:rsidRPr="00722BDF" w:rsidRDefault="00E20574" w:rsidP="00FC7DB9">
            <w:pPr>
              <w:rPr>
                <w:caps/>
                <w:sz w:val="24"/>
                <w:szCs w:val="24"/>
              </w:rPr>
            </w:pPr>
            <w:r w:rsidRPr="00722BDF">
              <w:rPr>
                <w:caps/>
                <w:sz w:val="24"/>
                <w:szCs w:val="24"/>
              </w:rPr>
              <w:t>To coordinate the development of an employer needs assessment focused on training and educational services</w:t>
            </w:r>
          </w:p>
        </w:tc>
      </w:tr>
      <w:tr w:rsidR="00AA62B5" w:rsidRPr="000B19E1" w:rsidTr="0021186E">
        <w:trPr>
          <w:trHeight w:hRule="exact" w:val="72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19E1" w:rsidRPr="00C50FF7" w:rsidRDefault="000B19E1" w:rsidP="00C50FF7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b/>
                <w:smallCaps/>
                <w:spacing w:val="20"/>
                <w:sz w:val="26"/>
                <w:szCs w:val="26"/>
              </w:rPr>
            </w:pPr>
            <w:r w:rsidRPr="00C50FF7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C50FF7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B19E1" w:rsidRPr="001D23CF" w:rsidRDefault="000B19E1" w:rsidP="00FC7DB9">
            <w:r w:rsidRPr="001D23CF">
              <w:rPr>
                <w:rFonts w:ascii="Calibri" w:hAnsi="Calibri"/>
                <w:color w:val="000000"/>
              </w:rPr>
              <w:t>Create a survey which focuses on perceived employer needs as it relates to training and the quality of their existing workforce.</w:t>
            </w:r>
          </w:p>
        </w:tc>
      </w:tr>
      <w:tr w:rsidR="00AA62B5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850429" w:rsidP="00E00418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Assistant Director, CE &amp; WD</w:t>
            </w:r>
          </w:p>
        </w:tc>
      </w:tr>
      <w:tr w:rsidR="00AA62B5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396A41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July 2011</w:t>
            </w:r>
          </w:p>
        </w:tc>
      </w:tr>
      <w:tr w:rsidR="00AA62B5" w:rsidRPr="000B19E1" w:rsidTr="00B40A53">
        <w:trPr>
          <w:trHeight w:hRule="exact" w:val="1283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B40A53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survey was completed in June 29, 2011 with the final report published in July 2011.  The report was uploaded to the MyGCC public website soon a</w:t>
            </w:r>
            <w:r w:rsidR="0019079A">
              <w:rPr>
                <w:rFonts w:ascii="Calibri" w:hAnsi="Calibri"/>
                <w:color w:val="000000"/>
              </w:rPr>
              <w:t xml:space="preserve">fter.  The College received </w:t>
            </w:r>
            <w:r>
              <w:rPr>
                <w:rFonts w:ascii="Calibri" w:hAnsi="Calibri"/>
                <w:color w:val="000000"/>
              </w:rPr>
              <w:t xml:space="preserve"> a 40% response rate to the survey.</w:t>
            </w:r>
          </w:p>
        </w:tc>
      </w:tr>
      <w:tr w:rsidR="00AA62B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850429" w:rsidP="00E00418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The percentage of positive responses should be above 70%</w:t>
            </w:r>
          </w:p>
        </w:tc>
      </w:tr>
      <w:tr w:rsidR="00AA62B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B40A53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AA62B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850429" w:rsidP="00E00418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Once the survey has been developed, it will be given to all HR departments with whom we interact; through CE, WD or Apprenticeship</w:t>
            </w:r>
          </w:p>
        </w:tc>
      </w:tr>
      <w:tr w:rsidR="00AA62B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B90C91" w:rsidRPr="001D23CF" w:rsidRDefault="00B40A53" w:rsidP="00BD4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 of December 31, 2011, the survey has been disseminated to some employers</w:t>
            </w:r>
            <w:r w:rsidR="00BD4693">
              <w:rPr>
                <w:rFonts w:ascii="Calibri" w:hAnsi="Calibri"/>
                <w:color w:val="000000"/>
              </w:rPr>
              <w:t xml:space="preserve"> and groups </w:t>
            </w:r>
            <w:r>
              <w:rPr>
                <w:rFonts w:ascii="Calibri" w:hAnsi="Calibri"/>
                <w:color w:val="000000"/>
              </w:rPr>
              <w:t xml:space="preserve"> and information posted on </w:t>
            </w:r>
            <w:r w:rsidR="00BD4693">
              <w:rPr>
                <w:rFonts w:ascii="Calibri" w:hAnsi="Calibri"/>
                <w:color w:val="000000"/>
              </w:rPr>
              <w:t>MyGCC</w:t>
            </w:r>
            <w:r>
              <w:rPr>
                <w:rFonts w:ascii="Calibri" w:hAnsi="Calibri"/>
                <w:color w:val="000000"/>
              </w:rPr>
              <w:t xml:space="preserve"> website.  It is used as a resource to provide information on what employers are seeking and recommendations for GCC future courses.  This has been disseminated to </w:t>
            </w:r>
            <w:r w:rsidR="00BD4693"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color w:val="000000"/>
              </w:rPr>
              <w:t>College and made available to the public via the website.</w:t>
            </w:r>
          </w:p>
        </w:tc>
      </w:tr>
      <w:tr w:rsidR="00181451" w:rsidRPr="000B19E1" w:rsidTr="0021186E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181451" w:rsidRPr="001D23CF" w:rsidRDefault="00181451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181451" w:rsidRPr="001D23CF" w:rsidRDefault="00181451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C50FF7" w:rsidRPr="000B19E1" w:rsidTr="0021186E">
        <w:trPr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50FF7" w:rsidRPr="00C50FF7" w:rsidRDefault="00C50FF7" w:rsidP="006128ED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b/>
                <w:smallCaps/>
                <w:spacing w:val="20"/>
                <w:sz w:val="26"/>
                <w:szCs w:val="26"/>
              </w:rPr>
            </w:pPr>
            <w:r w:rsidRPr="00C50FF7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C50FF7" w:rsidRPr="001D23CF" w:rsidRDefault="00C50FF7" w:rsidP="00E00418">
            <w:r w:rsidRPr="001D23CF">
              <w:rPr>
                <w:rFonts w:ascii="Calibri" w:hAnsi="Calibri"/>
                <w:color w:val="000000"/>
              </w:rPr>
              <w:t>Department Advisory Council meetings, conducted Spring and Fall semesters</w:t>
            </w:r>
          </w:p>
        </w:tc>
      </w:tr>
      <w:tr w:rsidR="00847248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1D23CF" w:rsidRDefault="005962EC" w:rsidP="00E00418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Department Chairs</w:t>
            </w:r>
          </w:p>
        </w:tc>
      </w:tr>
      <w:tr w:rsidR="00847248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1D23CF" w:rsidRDefault="005962EC" w:rsidP="00E00418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 xml:space="preserve">Continuous &amp; </w:t>
            </w:r>
            <w:r w:rsidR="00AA62B5">
              <w:rPr>
                <w:rFonts w:ascii="Calibri" w:hAnsi="Calibri"/>
                <w:color w:val="000000"/>
              </w:rPr>
              <w:t>O</w:t>
            </w:r>
            <w:r w:rsidRPr="001D23CF">
              <w:rPr>
                <w:rFonts w:ascii="Calibri" w:hAnsi="Calibri"/>
                <w:color w:val="000000"/>
              </w:rPr>
              <w:t>ngoing</w:t>
            </w:r>
          </w:p>
        </w:tc>
      </w:tr>
      <w:tr w:rsidR="00847248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1D23CF" w:rsidRDefault="005962EC" w:rsidP="00E00418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Started</w:t>
            </w:r>
          </w:p>
        </w:tc>
      </w:tr>
      <w:tr w:rsidR="00847248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1D23CF" w:rsidRDefault="00AA62B5" w:rsidP="00AA62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Changing workforce needs will dictate curriculum adaption as directed by council</w:t>
            </w:r>
          </w:p>
        </w:tc>
      </w:tr>
      <w:tr w:rsidR="00847248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1D23CF" w:rsidRDefault="00B40A53" w:rsidP="001907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 Advisory Committee meeting matrix is compiled by AIER</w:t>
            </w:r>
            <w:r w:rsidR="0019079A">
              <w:rPr>
                <w:rFonts w:ascii="Calibri" w:hAnsi="Calibri"/>
                <w:color w:val="000000"/>
              </w:rPr>
              <w:t xml:space="preserve"> on an annual basis.  As of 12/31/11, 52%, or 24 out of 46 of the departments had conducted a meeting for Fall 2011 semester</w:t>
            </w:r>
            <w:r>
              <w:rPr>
                <w:rFonts w:ascii="Calibri" w:hAnsi="Calibri"/>
                <w:color w:val="000000"/>
              </w:rPr>
              <w:t xml:space="preserve">.  </w:t>
            </w:r>
            <w:r w:rsidR="0019079A">
              <w:rPr>
                <w:rFonts w:ascii="Calibri" w:hAnsi="Calibri"/>
                <w:color w:val="000000"/>
              </w:rPr>
              <w:t xml:space="preserve">In November 2011, a program review of the secondary programs had begun.  As of 12/31/11, the program review was 50% completed. 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1D79C0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47248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1D23CF" w:rsidRDefault="00AA62B5" w:rsidP="00AA62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 Program Review</w:t>
            </w:r>
          </w:p>
        </w:tc>
      </w:tr>
      <w:tr w:rsidR="00847248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248" w:rsidRPr="001D23CF" w:rsidRDefault="0019079A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secondary program review is expected to be completed by March 9, 2012.</w:t>
            </w:r>
          </w:p>
        </w:tc>
      </w:tr>
    </w:tbl>
    <w:p w:rsidR="004B42E6" w:rsidRDefault="004B42E6" w:rsidP="004B42E6"/>
    <w:p w:rsidR="003A4CF5" w:rsidRDefault="003A4CF5">
      <w:r>
        <w:br w:type="page"/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398"/>
        <w:gridCol w:w="6682"/>
      </w:tblGrid>
      <w:tr w:rsidR="00AA62B5" w:rsidRPr="000B19E1" w:rsidTr="00C50FF7">
        <w:trPr>
          <w:trHeight w:hRule="exact" w:val="360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:rsidR="00AA62B5" w:rsidRPr="000B19E1" w:rsidRDefault="00AA62B5" w:rsidP="008D4DA6">
            <w:pPr>
              <w:rPr>
                <w:sz w:val="20"/>
                <w:szCs w:val="20"/>
              </w:rPr>
            </w:pPr>
          </w:p>
        </w:tc>
      </w:tr>
      <w:tr w:rsidR="00AA62B5" w:rsidRPr="000B19E1" w:rsidTr="00C50FF7">
        <w:trPr>
          <w:trHeight w:hRule="exact" w:val="1440"/>
          <w:jc w:val="center"/>
        </w:trPr>
        <w:tc>
          <w:tcPr>
            <w:tcW w:w="339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A62B5" w:rsidRPr="00FC7DB9" w:rsidRDefault="00AA62B5" w:rsidP="009C6EC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434584">
              <w:rPr>
                <w:b/>
                <w:spacing w:val="100"/>
                <w:sz w:val="24"/>
                <w:szCs w:val="24"/>
              </w:rPr>
              <w:t>-B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AA62B5" w:rsidRPr="00722BDF" w:rsidRDefault="00AA62B5" w:rsidP="00AA62B5">
            <w:pPr>
              <w:rPr>
                <w:caps/>
                <w:sz w:val="24"/>
                <w:szCs w:val="24"/>
              </w:rPr>
            </w:pPr>
            <w:r w:rsidRPr="00722BDF">
              <w:rPr>
                <w:caps/>
                <w:sz w:val="24"/>
                <w:szCs w:val="24"/>
              </w:rPr>
              <w:t>To develop a program to partner with private workforce training providers</w:t>
            </w:r>
          </w:p>
        </w:tc>
      </w:tr>
      <w:tr w:rsidR="00AA62B5" w:rsidRPr="000B19E1" w:rsidTr="00C50FF7">
        <w:trPr>
          <w:trHeight w:hRule="exact" w:val="72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C50FF7" w:rsidRDefault="00AA62B5" w:rsidP="00C50FF7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b/>
                <w:smallCaps/>
                <w:spacing w:val="20"/>
                <w:sz w:val="26"/>
                <w:szCs w:val="26"/>
              </w:rPr>
            </w:pPr>
            <w:r w:rsidRPr="00C50FF7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AA62B5" w:rsidRDefault="00AA62B5" w:rsidP="00AA62B5">
            <w:r w:rsidRPr="00AA62B5">
              <w:rPr>
                <w:rFonts w:ascii="Calibri" w:hAnsi="Calibri"/>
                <w:color w:val="000000"/>
              </w:rPr>
              <w:t>Develop Standard Operating Procedure on establishing private industry and training relationships with individuals outside of GCC.</w:t>
            </w:r>
          </w:p>
        </w:tc>
      </w:tr>
      <w:tr w:rsidR="00AA62B5" w:rsidRPr="000B19E1" w:rsidTr="00C50FF7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1D23CF" w:rsidRDefault="00AA62B5" w:rsidP="008D4DA6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Assistant Director, CE &amp; WD</w:t>
            </w:r>
          </w:p>
        </w:tc>
      </w:tr>
      <w:tr w:rsidR="00AA62B5" w:rsidRPr="000B19E1" w:rsidTr="00C50FF7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1D23CF" w:rsidRDefault="00396A41" w:rsidP="00AA62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July 1, 2012</w:t>
            </w:r>
          </w:p>
        </w:tc>
      </w:tr>
      <w:tr w:rsidR="00AA62B5" w:rsidRPr="000B19E1" w:rsidTr="00C50FF7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1D23CF" w:rsidRDefault="00AA62B5" w:rsidP="008D4DA6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Sta</w:t>
            </w:r>
            <w:r>
              <w:rPr>
                <w:rFonts w:ascii="Calibri" w:hAnsi="Calibri"/>
                <w:color w:val="000000"/>
              </w:rPr>
              <w:t>rted</w:t>
            </w:r>
          </w:p>
        </w:tc>
      </w:tr>
      <w:tr w:rsidR="00AA62B5" w:rsidRPr="000B19E1" w:rsidTr="00C50FF7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1D23CF" w:rsidRDefault="00AA62B5" w:rsidP="00AA62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Finalized SOP Document</w:t>
            </w:r>
          </w:p>
        </w:tc>
      </w:tr>
      <w:tr w:rsidR="00AA62B5" w:rsidRPr="000B19E1" w:rsidTr="00C50FF7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1D23CF" w:rsidRDefault="00396A41" w:rsidP="00396A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 of 12/31/11, the CE department has established its framework for the CE Master Plan.  Included in the CE Master Plan will be the SOP </w:t>
            </w:r>
            <w:r w:rsidR="00BD4693">
              <w:rPr>
                <w:rFonts w:ascii="Calibri" w:hAnsi="Calibri"/>
                <w:color w:val="000000"/>
              </w:rPr>
              <w:t>for establishing relationships with outside partners.  The plan is at 15% complete.</w:t>
            </w:r>
          </w:p>
        </w:tc>
      </w:tr>
      <w:tr w:rsidR="00AA62B5" w:rsidRPr="000B19E1" w:rsidTr="00C50FF7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1D23CF" w:rsidRDefault="00AA62B5" w:rsidP="00360A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Distribute to relative parties and make it available on MyGCC website.</w:t>
            </w:r>
          </w:p>
        </w:tc>
      </w:tr>
      <w:tr w:rsidR="00AA62B5" w:rsidRPr="000B19E1" w:rsidTr="00C50FF7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AA62B5" w:rsidRPr="001D23CF" w:rsidRDefault="00AA62B5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AA62B5" w:rsidRPr="000B19E1" w:rsidTr="00C50FF7">
        <w:trPr>
          <w:trHeight w:hRule="exact" w:val="144"/>
          <w:jc w:val="center"/>
        </w:trPr>
        <w:tc>
          <w:tcPr>
            <w:tcW w:w="3398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AA62B5" w:rsidRPr="001D23CF" w:rsidRDefault="00AA62B5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2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AA62B5" w:rsidRPr="001D23CF" w:rsidRDefault="00AA62B5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C50FF7" w:rsidRPr="000B19E1" w:rsidTr="00C50FF7">
        <w:trPr>
          <w:jc w:val="center"/>
        </w:trPr>
        <w:tc>
          <w:tcPr>
            <w:tcW w:w="3398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50FF7" w:rsidRPr="00C50FF7" w:rsidRDefault="00C50FF7" w:rsidP="006128ED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b/>
                <w:smallCaps/>
                <w:spacing w:val="20"/>
                <w:sz w:val="26"/>
                <w:szCs w:val="26"/>
              </w:rPr>
            </w:pPr>
            <w:r w:rsidRPr="00C50FF7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2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C50FF7" w:rsidRPr="001D23CF" w:rsidRDefault="00C50FF7" w:rsidP="00360A15">
            <w:r>
              <w:rPr>
                <w:rFonts w:ascii="Calibri" w:hAnsi="Calibri"/>
                <w:color w:val="000000"/>
              </w:rPr>
              <w:t>GCC representative will join relevant business service organizations on membership basis.</w:t>
            </w:r>
          </w:p>
        </w:tc>
      </w:tr>
      <w:tr w:rsidR="00AA62B5" w:rsidRPr="000B19E1" w:rsidTr="00C50FF7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1D23CF" w:rsidRDefault="00AA62B5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Assistant Director, CE &amp; WD</w:t>
            </w:r>
          </w:p>
        </w:tc>
      </w:tr>
      <w:tr w:rsidR="00AA62B5" w:rsidRPr="000B19E1" w:rsidTr="00C50FF7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1D23CF" w:rsidRDefault="00AA62B5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AA62B5" w:rsidRPr="000B19E1" w:rsidTr="00C50FF7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1D23CF" w:rsidRDefault="00AA62B5" w:rsidP="008D4DA6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Started</w:t>
            </w:r>
          </w:p>
        </w:tc>
      </w:tr>
      <w:tr w:rsidR="00AA62B5" w:rsidRPr="000B19E1" w:rsidTr="00C50FF7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AA62B5" w:rsidRDefault="00AA62B5" w:rsidP="008D4DA6">
            <w:pPr>
              <w:rPr>
                <w:rFonts w:ascii="Calibri" w:hAnsi="Calibri"/>
                <w:color w:val="000000"/>
              </w:rPr>
            </w:pPr>
            <w:r w:rsidRPr="00AA62B5">
              <w:rPr>
                <w:rFonts w:ascii="Calibri" w:hAnsi="Calibri"/>
                <w:color w:val="000000"/>
              </w:rPr>
              <w:t>Weekly reporting at management Team Meetings on planning opportunities obtained from attendance meetings</w:t>
            </w:r>
          </w:p>
        </w:tc>
      </w:tr>
      <w:tr w:rsidR="00AA62B5" w:rsidRPr="000B19E1" w:rsidTr="00C50FF7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1D23CF" w:rsidRDefault="00BD4693" w:rsidP="001A40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Ongoing, as the Asst. Director for CE and WD continues to represent </w:t>
            </w:r>
            <w:r w:rsidR="001A4089">
              <w:rPr>
                <w:rFonts w:ascii="Calibri" w:hAnsi="Calibri"/>
                <w:color w:val="000000"/>
              </w:rPr>
              <w:t>the College at Chamber meetings, as well as Guam Workforce Investment Board, Guam Contractors Assoc. Small Business Committee, SHRM, and AHRD Board.</w:t>
            </w:r>
          </w:p>
        </w:tc>
      </w:tr>
      <w:tr w:rsidR="00AA62B5" w:rsidRPr="000B19E1" w:rsidTr="00C50FF7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1D23CF" w:rsidRDefault="00AA62B5" w:rsidP="00360A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Development of rel</w:t>
            </w:r>
            <w:r w:rsidR="00360A15">
              <w:rPr>
                <w:rFonts w:ascii="Calibri" w:hAnsi="Calibri"/>
                <w:color w:val="000000"/>
              </w:rPr>
              <w:t>e</w:t>
            </w:r>
            <w:r>
              <w:rPr>
                <w:rFonts w:ascii="Calibri" w:hAnsi="Calibri"/>
                <w:color w:val="000000"/>
              </w:rPr>
              <w:t>v</w:t>
            </w:r>
            <w:r w:rsidR="00360A15">
              <w:rPr>
                <w:rFonts w:ascii="Calibri" w:hAnsi="Calibri"/>
                <w:color w:val="000000"/>
              </w:rPr>
              <w:t>a</w:t>
            </w:r>
            <w:r>
              <w:rPr>
                <w:rFonts w:ascii="Calibri" w:hAnsi="Calibri"/>
                <w:color w:val="000000"/>
              </w:rPr>
              <w:t>nt training and partnership opportunities.</w:t>
            </w:r>
          </w:p>
        </w:tc>
      </w:tr>
      <w:tr w:rsidR="00AA62B5" w:rsidRPr="000B19E1" w:rsidTr="00C50FF7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2B5" w:rsidRPr="001D23CF" w:rsidRDefault="00AA62B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62B5" w:rsidRPr="001D23CF" w:rsidRDefault="00AA62B5" w:rsidP="008D4DA6">
            <w:pPr>
              <w:rPr>
                <w:rFonts w:ascii="Calibri" w:hAnsi="Calibri"/>
                <w:color w:val="000000"/>
              </w:rPr>
            </w:pPr>
          </w:p>
        </w:tc>
      </w:tr>
    </w:tbl>
    <w:p w:rsidR="00AA62B5" w:rsidRDefault="00AA62B5" w:rsidP="00360A15"/>
    <w:sectPr w:rsidR="00AA62B5" w:rsidSect="001D23C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08" w:rsidRDefault="00F52808" w:rsidP="0021186E">
      <w:pPr>
        <w:spacing w:after="0" w:line="240" w:lineRule="auto"/>
      </w:pPr>
      <w:r>
        <w:separator/>
      </w:r>
    </w:p>
  </w:endnote>
  <w:endnote w:type="continuationSeparator" w:id="0">
    <w:p w:rsidR="00F52808" w:rsidRDefault="00F52808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08" w:rsidRDefault="00F52808" w:rsidP="0021186E">
      <w:pPr>
        <w:spacing w:after="0" w:line="240" w:lineRule="auto"/>
      </w:pPr>
      <w:r>
        <w:separator/>
      </w:r>
    </w:p>
  </w:footnote>
  <w:footnote w:type="continuationSeparator" w:id="0">
    <w:p w:rsidR="00F52808" w:rsidRDefault="00F52808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5"/>
      <w:gridCol w:w="2545"/>
    </w:tblGrid>
    <w:tr w:rsidR="002968E8" w:rsidTr="002968E8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569C028B1B83474696437AE542503D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85" w:type="dxa"/>
            </w:tcPr>
            <w:p w:rsidR="002968E8" w:rsidRDefault="002968E8" w:rsidP="002968E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2009-2014               Goal#1 ~ Pioneering</w:t>
              </w:r>
            </w:p>
          </w:tc>
        </w:sdtContent>
      </w:sdt>
      <w:tc>
        <w:tcPr>
          <w:tcW w:w="2545" w:type="dxa"/>
          <w:vAlign w:val="center"/>
        </w:tcPr>
        <w:p w:rsidR="002968E8" w:rsidRPr="002968E8" w:rsidRDefault="00C01D14" w:rsidP="00A2338B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As of </w:t>
          </w:r>
          <w:r w:rsidR="00A2338B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December 31</w:t>
          </w:r>
          <w:r w:rsidR="002968E8" w:rsidRPr="002968E8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, 2011</w:t>
          </w:r>
        </w:p>
      </w:tc>
    </w:tr>
  </w:tbl>
  <w:p w:rsidR="0021186E" w:rsidRDefault="0021186E" w:rsidP="0021186E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71F"/>
    <w:multiLevelType w:val="hybridMultilevel"/>
    <w:tmpl w:val="5BA66E92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77EF"/>
    <w:multiLevelType w:val="hybridMultilevel"/>
    <w:tmpl w:val="5CE4F1B2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B42E6"/>
    <w:rsid w:val="00004ABE"/>
    <w:rsid w:val="00013764"/>
    <w:rsid w:val="0001510D"/>
    <w:rsid w:val="00043E49"/>
    <w:rsid w:val="00044B9F"/>
    <w:rsid w:val="00055FA9"/>
    <w:rsid w:val="000653D7"/>
    <w:rsid w:val="00080B8D"/>
    <w:rsid w:val="00087AD8"/>
    <w:rsid w:val="000B19E1"/>
    <w:rsid w:val="000B45C2"/>
    <w:rsid w:val="000C2296"/>
    <w:rsid w:val="000D6442"/>
    <w:rsid w:val="000F7381"/>
    <w:rsid w:val="001060DF"/>
    <w:rsid w:val="00144762"/>
    <w:rsid w:val="00170849"/>
    <w:rsid w:val="00181451"/>
    <w:rsid w:val="0019079A"/>
    <w:rsid w:val="001A4089"/>
    <w:rsid w:val="001D1E61"/>
    <w:rsid w:val="001D23CF"/>
    <w:rsid w:val="001D26FE"/>
    <w:rsid w:val="001D79C0"/>
    <w:rsid w:val="001E7B40"/>
    <w:rsid w:val="001F1106"/>
    <w:rsid w:val="001F5E02"/>
    <w:rsid w:val="001F5E42"/>
    <w:rsid w:val="0021186E"/>
    <w:rsid w:val="00215CEC"/>
    <w:rsid w:val="0023143A"/>
    <w:rsid w:val="00235B28"/>
    <w:rsid w:val="00253C50"/>
    <w:rsid w:val="0026096F"/>
    <w:rsid w:val="00281F60"/>
    <w:rsid w:val="00282FFD"/>
    <w:rsid w:val="002968E8"/>
    <w:rsid w:val="00296AE5"/>
    <w:rsid w:val="002A5071"/>
    <w:rsid w:val="002B2BB3"/>
    <w:rsid w:val="002B65B9"/>
    <w:rsid w:val="002C0175"/>
    <w:rsid w:val="002C1EE3"/>
    <w:rsid w:val="002C4803"/>
    <w:rsid w:val="002D1144"/>
    <w:rsid w:val="002D2BD9"/>
    <w:rsid w:val="002D6CAC"/>
    <w:rsid w:val="002E5E7C"/>
    <w:rsid w:val="003074FA"/>
    <w:rsid w:val="00336E3B"/>
    <w:rsid w:val="00342810"/>
    <w:rsid w:val="00351D6D"/>
    <w:rsid w:val="00352137"/>
    <w:rsid w:val="00360A15"/>
    <w:rsid w:val="00392260"/>
    <w:rsid w:val="003956D9"/>
    <w:rsid w:val="00396A41"/>
    <w:rsid w:val="003A4CF5"/>
    <w:rsid w:val="003B004E"/>
    <w:rsid w:val="003B46EF"/>
    <w:rsid w:val="003D6155"/>
    <w:rsid w:val="003E68FD"/>
    <w:rsid w:val="003E7321"/>
    <w:rsid w:val="003F61A4"/>
    <w:rsid w:val="003F6983"/>
    <w:rsid w:val="00400E9F"/>
    <w:rsid w:val="004048BC"/>
    <w:rsid w:val="004127BA"/>
    <w:rsid w:val="00426F5F"/>
    <w:rsid w:val="00434584"/>
    <w:rsid w:val="004713B3"/>
    <w:rsid w:val="00496D6F"/>
    <w:rsid w:val="004A5E56"/>
    <w:rsid w:val="004B42E6"/>
    <w:rsid w:val="004C0F6C"/>
    <w:rsid w:val="004E4F71"/>
    <w:rsid w:val="00514418"/>
    <w:rsid w:val="00516475"/>
    <w:rsid w:val="00543ACD"/>
    <w:rsid w:val="005555AB"/>
    <w:rsid w:val="00570A4C"/>
    <w:rsid w:val="005868E6"/>
    <w:rsid w:val="00590407"/>
    <w:rsid w:val="005962EC"/>
    <w:rsid w:val="005A2343"/>
    <w:rsid w:val="005A2702"/>
    <w:rsid w:val="005A3631"/>
    <w:rsid w:val="005B2CBD"/>
    <w:rsid w:val="005B3A08"/>
    <w:rsid w:val="005D7D13"/>
    <w:rsid w:val="00603C48"/>
    <w:rsid w:val="00611E9A"/>
    <w:rsid w:val="00630FDD"/>
    <w:rsid w:val="00672E11"/>
    <w:rsid w:val="00692639"/>
    <w:rsid w:val="006B2F08"/>
    <w:rsid w:val="006B7B49"/>
    <w:rsid w:val="006C239F"/>
    <w:rsid w:val="006E2673"/>
    <w:rsid w:val="006F5D6B"/>
    <w:rsid w:val="006F73E8"/>
    <w:rsid w:val="007000D8"/>
    <w:rsid w:val="00704A79"/>
    <w:rsid w:val="00710C09"/>
    <w:rsid w:val="00722BDF"/>
    <w:rsid w:val="00733C01"/>
    <w:rsid w:val="00741BF6"/>
    <w:rsid w:val="00742662"/>
    <w:rsid w:val="00764FA7"/>
    <w:rsid w:val="00766D27"/>
    <w:rsid w:val="007C6391"/>
    <w:rsid w:val="007D3477"/>
    <w:rsid w:val="007E4928"/>
    <w:rsid w:val="007F2DBB"/>
    <w:rsid w:val="007F75CF"/>
    <w:rsid w:val="008054D9"/>
    <w:rsid w:val="008119D0"/>
    <w:rsid w:val="0082209F"/>
    <w:rsid w:val="00822E63"/>
    <w:rsid w:val="00827161"/>
    <w:rsid w:val="00832695"/>
    <w:rsid w:val="00841E28"/>
    <w:rsid w:val="00843DD2"/>
    <w:rsid w:val="00847248"/>
    <w:rsid w:val="00850429"/>
    <w:rsid w:val="0086069E"/>
    <w:rsid w:val="00861363"/>
    <w:rsid w:val="00875EED"/>
    <w:rsid w:val="00880E32"/>
    <w:rsid w:val="0092414E"/>
    <w:rsid w:val="00947D1C"/>
    <w:rsid w:val="009532E5"/>
    <w:rsid w:val="0097298B"/>
    <w:rsid w:val="00991CFB"/>
    <w:rsid w:val="00997EF4"/>
    <w:rsid w:val="009A4931"/>
    <w:rsid w:val="009C027C"/>
    <w:rsid w:val="009C6EC2"/>
    <w:rsid w:val="009D011E"/>
    <w:rsid w:val="009D0725"/>
    <w:rsid w:val="009D3AE9"/>
    <w:rsid w:val="009F1A68"/>
    <w:rsid w:val="00A00084"/>
    <w:rsid w:val="00A0008F"/>
    <w:rsid w:val="00A12B07"/>
    <w:rsid w:val="00A20EAC"/>
    <w:rsid w:val="00A2338B"/>
    <w:rsid w:val="00A234A2"/>
    <w:rsid w:val="00A34549"/>
    <w:rsid w:val="00A42630"/>
    <w:rsid w:val="00A55806"/>
    <w:rsid w:val="00A571B7"/>
    <w:rsid w:val="00A57BEF"/>
    <w:rsid w:val="00AA12FF"/>
    <w:rsid w:val="00AA303B"/>
    <w:rsid w:val="00AA62B5"/>
    <w:rsid w:val="00AB374A"/>
    <w:rsid w:val="00AB679F"/>
    <w:rsid w:val="00AE2DA2"/>
    <w:rsid w:val="00AE33DC"/>
    <w:rsid w:val="00AE7EBD"/>
    <w:rsid w:val="00B0632E"/>
    <w:rsid w:val="00B15527"/>
    <w:rsid w:val="00B30257"/>
    <w:rsid w:val="00B36400"/>
    <w:rsid w:val="00B40A53"/>
    <w:rsid w:val="00B62A15"/>
    <w:rsid w:val="00B80533"/>
    <w:rsid w:val="00B90C91"/>
    <w:rsid w:val="00B96215"/>
    <w:rsid w:val="00BB53EC"/>
    <w:rsid w:val="00BD3938"/>
    <w:rsid w:val="00BD4693"/>
    <w:rsid w:val="00BE06B0"/>
    <w:rsid w:val="00C00BB0"/>
    <w:rsid w:val="00C01D14"/>
    <w:rsid w:val="00C301EE"/>
    <w:rsid w:val="00C33038"/>
    <w:rsid w:val="00C43189"/>
    <w:rsid w:val="00C50FF7"/>
    <w:rsid w:val="00CA32A6"/>
    <w:rsid w:val="00CB175B"/>
    <w:rsid w:val="00CC23AA"/>
    <w:rsid w:val="00CD0750"/>
    <w:rsid w:val="00CD087E"/>
    <w:rsid w:val="00CF2D2D"/>
    <w:rsid w:val="00D00CC8"/>
    <w:rsid w:val="00D01566"/>
    <w:rsid w:val="00D07E5D"/>
    <w:rsid w:val="00D1545A"/>
    <w:rsid w:val="00D24E94"/>
    <w:rsid w:val="00D278D3"/>
    <w:rsid w:val="00D322E3"/>
    <w:rsid w:val="00D33C42"/>
    <w:rsid w:val="00D35498"/>
    <w:rsid w:val="00D355B1"/>
    <w:rsid w:val="00D35697"/>
    <w:rsid w:val="00D35B89"/>
    <w:rsid w:val="00D35DA9"/>
    <w:rsid w:val="00D5435F"/>
    <w:rsid w:val="00D824B0"/>
    <w:rsid w:val="00D8311C"/>
    <w:rsid w:val="00D9244A"/>
    <w:rsid w:val="00D94B6E"/>
    <w:rsid w:val="00DC035B"/>
    <w:rsid w:val="00DD0A96"/>
    <w:rsid w:val="00DD6B10"/>
    <w:rsid w:val="00DF5746"/>
    <w:rsid w:val="00E00418"/>
    <w:rsid w:val="00E01184"/>
    <w:rsid w:val="00E01C88"/>
    <w:rsid w:val="00E03F5A"/>
    <w:rsid w:val="00E20574"/>
    <w:rsid w:val="00E3157A"/>
    <w:rsid w:val="00E54CB5"/>
    <w:rsid w:val="00E64628"/>
    <w:rsid w:val="00E85364"/>
    <w:rsid w:val="00EC7788"/>
    <w:rsid w:val="00EF6FBB"/>
    <w:rsid w:val="00EF7EBA"/>
    <w:rsid w:val="00F152E2"/>
    <w:rsid w:val="00F4022D"/>
    <w:rsid w:val="00F44DE8"/>
    <w:rsid w:val="00F52808"/>
    <w:rsid w:val="00F60BBD"/>
    <w:rsid w:val="00F81696"/>
    <w:rsid w:val="00F82E76"/>
    <w:rsid w:val="00F8763D"/>
    <w:rsid w:val="00FB47F5"/>
    <w:rsid w:val="00FC499A"/>
    <w:rsid w:val="00FC6569"/>
    <w:rsid w:val="00FC7DB9"/>
    <w:rsid w:val="00FD14A7"/>
    <w:rsid w:val="00FD6305"/>
    <w:rsid w:val="00FE2A31"/>
    <w:rsid w:val="00FF2C30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semiHidden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9C028B1B83474696437AE54250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39EE-F89D-43E6-B55A-E8C67A684C44}"/>
      </w:docPartPr>
      <w:docPartBody>
        <w:p w:rsidR="00C96517" w:rsidRDefault="00395025" w:rsidP="00395025">
          <w:pPr>
            <w:pStyle w:val="569C028B1B83474696437AE542503D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395025"/>
    <w:rsid w:val="00395025"/>
    <w:rsid w:val="003A2BE6"/>
    <w:rsid w:val="00671D4E"/>
    <w:rsid w:val="007C7147"/>
    <w:rsid w:val="00840B53"/>
    <w:rsid w:val="00B45532"/>
    <w:rsid w:val="00C54D83"/>
    <w:rsid w:val="00C96517"/>
    <w:rsid w:val="00E8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2009-2014               Goal#1 ~ Pioneering</vt:lpstr>
    </vt:vector>
  </TitlesOfParts>
  <Company>Guam Community College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2009-2014               Goal#1 ~ Pioneering</dc:title>
  <dc:subject/>
  <dc:creator>Doris</dc:creator>
  <cp:keywords/>
  <dc:description/>
  <cp:lastModifiedBy>User</cp:lastModifiedBy>
  <cp:revision>2</cp:revision>
  <cp:lastPrinted>2012-03-07T05:01:00Z</cp:lastPrinted>
  <dcterms:created xsi:type="dcterms:W3CDTF">2012-03-15T05:24:00Z</dcterms:created>
  <dcterms:modified xsi:type="dcterms:W3CDTF">2012-03-15T05:24:00Z</dcterms:modified>
</cp:coreProperties>
</file>