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253"/>
        <w:gridCol w:w="7547"/>
      </w:tblGrid>
      <w:tr w:rsidR="00AA62B5" w:rsidRPr="000B19E1" w:rsidTr="00B31DF3">
        <w:trPr>
          <w:trHeight w:val="1080"/>
          <w:tblHeader/>
          <w:jc w:val="center"/>
        </w:trPr>
        <w:tc>
          <w:tcPr>
            <w:tcW w:w="3253" w:type="dxa"/>
            <w:tcBorders>
              <w:top w:val="double" w:sz="4" w:space="0" w:color="auto"/>
              <w:bottom w:val="single" w:sz="2" w:space="0" w:color="auto"/>
              <w:right w:val="single" w:sz="6" w:space="0" w:color="auto"/>
            </w:tcBorders>
            <w:shd w:val="clear" w:color="auto" w:fill="DBE5F1" w:themeFill="accent1" w:themeFillTint="33"/>
            <w:vAlign w:val="center"/>
          </w:tcPr>
          <w:p w:rsidR="00C11EF3" w:rsidRPr="00FC7DB9" w:rsidRDefault="00563505" w:rsidP="00563505">
            <w:pPr>
              <w:jc w:val="center"/>
              <w:rPr>
                <w:b/>
                <w:spacing w:val="100"/>
                <w:sz w:val="24"/>
                <w:szCs w:val="24"/>
              </w:rPr>
            </w:pPr>
            <w:r>
              <w:rPr>
                <w:b/>
                <w:spacing w:val="100"/>
                <w:sz w:val="24"/>
                <w:szCs w:val="24"/>
              </w:rPr>
              <w:t>Student Centered Learning</w:t>
            </w:r>
          </w:p>
        </w:tc>
        <w:tc>
          <w:tcPr>
            <w:tcW w:w="7547" w:type="dxa"/>
            <w:tcBorders>
              <w:top w:val="double" w:sz="4" w:space="0" w:color="auto"/>
              <w:left w:val="single" w:sz="6" w:space="0" w:color="auto"/>
              <w:bottom w:val="single" w:sz="2" w:space="0" w:color="auto"/>
            </w:tcBorders>
            <w:shd w:val="clear" w:color="auto" w:fill="DBE5F1" w:themeFill="accent1" w:themeFillTint="33"/>
            <w:vAlign w:val="center"/>
          </w:tcPr>
          <w:p w:rsidR="00E20574" w:rsidRPr="00722BDF" w:rsidRDefault="00613339" w:rsidP="00613339">
            <w:pPr>
              <w:rPr>
                <w:caps/>
                <w:sz w:val="24"/>
                <w:szCs w:val="24"/>
              </w:rPr>
            </w:pPr>
            <w:r>
              <w:rPr>
                <w:caps/>
                <w:sz w:val="24"/>
                <w:szCs w:val="24"/>
              </w:rPr>
              <w:t>incorporate the student-centered learning model into the curriculum and the classroom</w:t>
            </w:r>
            <w:r w:rsidR="00C370AA">
              <w:rPr>
                <w:caps/>
                <w:sz w:val="24"/>
                <w:szCs w:val="24"/>
              </w:rPr>
              <w:t>.</w:t>
            </w:r>
            <w:bookmarkStart w:id="0" w:name="_GoBack"/>
            <w:bookmarkEnd w:id="0"/>
          </w:p>
        </w:tc>
      </w:tr>
      <w:tr w:rsidR="00E475E2" w:rsidRPr="000B19E1" w:rsidTr="00B70B62">
        <w:trPr>
          <w:trHeight w:val="360"/>
          <w:jc w:val="center"/>
        </w:trPr>
        <w:tc>
          <w:tcPr>
            <w:tcW w:w="3253" w:type="dxa"/>
            <w:tcBorders>
              <w:top w:val="single" w:sz="2" w:space="0" w:color="auto"/>
              <w:bottom w:val="dotted" w:sz="4" w:space="0" w:color="auto"/>
              <w:right w:val="single" w:sz="6" w:space="0" w:color="auto"/>
            </w:tcBorders>
            <w:vAlign w:val="center"/>
          </w:tcPr>
          <w:p w:rsidR="00E475E2" w:rsidRPr="00BB7463" w:rsidRDefault="00E475E2" w:rsidP="00BB7463">
            <w:pPr>
              <w:pStyle w:val="ListParagraph"/>
              <w:numPr>
                <w:ilvl w:val="0"/>
                <w:numId w:val="1"/>
              </w:numPr>
              <w:ind w:left="335" w:hanging="335"/>
              <w:rPr>
                <w:b/>
                <w:smallCaps/>
                <w:spacing w:val="20"/>
                <w:sz w:val="26"/>
                <w:szCs w:val="26"/>
              </w:rPr>
            </w:pPr>
            <w:r w:rsidRPr="00BB7463">
              <w:rPr>
                <w:b/>
                <w:smallCaps/>
                <w:spacing w:val="20"/>
                <w:sz w:val="26"/>
                <w:szCs w:val="26"/>
              </w:rPr>
              <w:t>Specific   Activities to Address Task</w:t>
            </w:r>
          </w:p>
        </w:tc>
        <w:tc>
          <w:tcPr>
            <w:tcW w:w="7547" w:type="dxa"/>
            <w:tcBorders>
              <w:top w:val="single" w:sz="2" w:space="0" w:color="auto"/>
              <w:left w:val="single" w:sz="6" w:space="0" w:color="auto"/>
              <w:bottom w:val="dotted" w:sz="4" w:space="0" w:color="auto"/>
            </w:tcBorders>
            <w:vAlign w:val="center"/>
          </w:tcPr>
          <w:p w:rsidR="00E475E2" w:rsidRPr="00E475E2" w:rsidRDefault="00447A72" w:rsidP="005802B1">
            <w:pPr>
              <w:rPr>
                <w:rFonts w:cs="Times New Roman"/>
              </w:rPr>
            </w:pPr>
            <w:r>
              <w:rPr>
                <w:rFonts w:cs="Times New Roman"/>
              </w:rPr>
              <w:t>Address the</w:t>
            </w:r>
            <w:r w:rsidR="00507727">
              <w:rPr>
                <w:rFonts w:cs="Times New Roman"/>
              </w:rPr>
              <w:t xml:space="preserve"> curriculum</w:t>
            </w:r>
            <w:r>
              <w:rPr>
                <w:rFonts w:cs="Times New Roman"/>
              </w:rPr>
              <w:t xml:space="preserve"> improvement recommendations contained within the annual institutional assessment reports.</w:t>
            </w:r>
          </w:p>
        </w:tc>
      </w:tr>
      <w:tr w:rsidR="00E475E2"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E475E2" w:rsidRDefault="00E475E2" w:rsidP="00FC7DB9">
            <w:pPr>
              <w:jc w:val="right"/>
              <w:rPr>
                <w:smallCaps/>
                <w:spacing w:val="20"/>
              </w:rPr>
            </w:pPr>
            <w:r w:rsidRPr="001D23CF">
              <w:rPr>
                <w:smallCaps/>
                <w:spacing w:val="20"/>
              </w:rPr>
              <w:t>Person</w:t>
            </w:r>
            <w:r>
              <w:rPr>
                <w:smallCaps/>
                <w:spacing w:val="20"/>
              </w:rPr>
              <w:t>/Committee</w:t>
            </w:r>
          </w:p>
          <w:p w:rsidR="00E475E2" w:rsidRPr="001D23CF" w:rsidRDefault="00E475E2" w:rsidP="00FC7DB9">
            <w:pPr>
              <w:jc w:val="right"/>
              <w:rPr>
                <w:smallCaps/>
                <w:spacing w:val="20"/>
              </w:rPr>
            </w:pPr>
            <w:r w:rsidRPr="001D23CF">
              <w:rPr>
                <w:smallCaps/>
                <w:spacing w:val="20"/>
              </w:rPr>
              <w:t>Responsible</w:t>
            </w:r>
          </w:p>
        </w:tc>
        <w:tc>
          <w:tcPr>
            <w:tcW w:w="7547" w:type="dxa"/>
            <w:tcBorders>
              <w:top w:val="dotted" w:sz="4" w:space="0" w:color="auto"/>
              <w:left w:val="single" w:sz="6" w:space="0" w:color="auto"/>
              <w:bottom w:val="dotted" w:sz="4" w:space="0" w:color="auto"/>
            </w:tcBorders>
            <w:vAlign w:val="center"/>
          </w:tcPr>
          <w:p w:rsidR="00E475E2" w:rsidRPr="00E475E2" w:rsidRDefault="00A43D8F" w:rsidP="00345862">
            <w:pPr>
              <w:rPr>
                <w:rFonts w:cs="Times New Roman"/>
              </w:rPr>
            </w:pPr>
            <w:r>
              <w:rPr>
                <w:rFonts w:cs="Times New Roman"/>
              </w:rPr>
              <w:t>AIER, CCA, LOC</w:t>
            </w:r>
          </w:p>
        </w:tc>
      </w:tr>
      <w:tr w:rsidR="00E475E2"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E475E2" w:rsidRPr="001D23CF" w:rsidRDefault="00E475E2" w:rsidP="00FC7DB9">
            <w:pPr>
              <w:jc w:val="right"/>
              <w:rPr>
                <w:smallCaps/>
                <w:spacing w:val="20"/>
              </w:rPr>
            </w:pPr>
            <w:r w:rsidRPr="001D23CF">
              <w:rPr>
                <w:smallCaps/>
                <w:spacing w:val="20"/>
              </w:rPr>
              <w:t>Timeline</w:t>
            </w:r>
          </w:p>
        </w:tc>
        <w:tc>
          <w:tcPr>
            <w:tcW w:w="7547" w:type="dxa"/>
            <w:tcBorders>
              <w:top w:val="dotted" w:sz="4" w:space="0" w:color="auto"/>
              <w:left w:val="single" w:sz="6" w:space="0" w:color="auto"/>
              <w:bottom w:val="dotted" w:sz="4" w:space="0" w:color="auto"/>
            </w:tcBorders>
            <w:vAlign w:val="center"/>
          </w:tcPr>
          <w:p w:rsidR="00E475E2" w:rsidRPr="001D23CF" w:rsidRDefault="008F11A6" w:rsidP="005802B1">
            <w:pPr>
              <w:rPr>
                <w:rFonts w:ascii="Calibri" w:hAnsi="Calibri"/>
                <w:color w:val="000000"/>
              </w:rPr>
            </w:pPr>
            <w:r>
              <w:rPr>
                <w:rFonts w:ascii="Calibri" w:hAnsi="Calibri"/>
                <w:color w:val="000000"/>
              </w:rPr>
              <w:t>Spring 2015</w:t>
            </w:r>
          </w:p>
        </w:tc>
      </w:tr>
      <w:tr w:rsidR="00E475E2"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E475E2" w:rsidRPr="001D23CF" w:rsidRDefault="00E475E2" w:rsidP="00FC7DB9">
            <w:pPr>
              <w:jc w:val="right"/>
              <w:rPr>
                <w:smallCaps/>
                <w:spacing w:val="20"/>
              </w:rPr>
            </w:pPr>
            <w:r w:rsidRPr="001D23CF">
              <w:rPr>
                <w:smallCaps/>
                <w:spacing w:val="20"/>
              </w:rPr>
              <w:t>Status</w:t>
            </w:r>
          </w:p>
        </w:tc>
        <w:tc>
          <w:tcPr>
            <w:tcW w:w="7547" w:type="dxa"/>
            <w:tcBorders>
              <w:top w:val="dotted" w:sz="4" w:space="0" w:color="auto"/>
              <w:left w:val="single" w:sz="6" w:space="0" w:color="auto"/>
              <w:bottom w:val="dotted" w:sz="4" w:space="0" w:color="auto"/>
            </w:tcBorders>
            <w:vAlign w:val="center"/>
          </w:tcPr>
          <w:p w:rsidR="00E475E2" w:rsidRPr="001D23CF" w:rsidRDefault="00A43D8F" w:rsidP="005802B1">
            <w:pPr>
              <w:rPr>
                <w:rFonts w:ascii="Calibri" w:hAnsi="Calibri"/>
                <w:color w:val="000000"/>
              </w:rPr>
            </w:pPr>
            <w:r>
              <w:rPr>
                <w:rFonts w:ascii="Calibri" w:hAnsi="Calibri"/>
                <w:color w:val="000000"/>
              </w:rPr>
              <w:t>Ongoing</w:t>
            </w:r>
          </w:p>
        </w:tc>
      </w:tr>
      <w:tr w:rsidR="00E475E2"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E475E2" w:rsidRPr="001D23CF" w:rsidRDefault="00E475E2" w:rsidP="00FC7DB9">
            <w:pPr>
              <w:jc w:val="right"/>
              <w:rPr>
                <w:smallCaps/>
                <w:spacing w:val="20"/>
              </w:rPr>
            </w:pPr>
            <w:r w:rsidRPr="001D23CF">
              <w:rPr>
                <w:smallCaps/>
                <w:spacing w:val="20"/>
              </w:rPr>
              <w:t>Performance Measure</w:t>
            </w:r>
          </w:p>
        </w:tc>
        <w:tc>
          <w:tcPr>
            <w:tcW w:w="7547" w:type="dxa"/>
            <w:tcBorders>
              <w:top w:val="dotted" w:sz="4" w:space="0" w:color="auto"/>
              <w:left w:val="single" w:sz="6" w:space="0" w:color="auto"/>
              <w:bottom w:val="dotted" w:sz="4" w:space="0" w:color="auto"/>
            </w:tcBorders>
            <w:vAlign w:val="center"/>
          </w:tcPr>
          <w:p w:rsidR="00E475E2" w:rsidRPr="00E475E2" w:rsidRDefault="00A43D8F" w:rsidP="005802B1">
            <w:pPr>
              <w:rPr>
                <w:color w:val="000000"/>
              </w:rPr>
            </w:pPr>
            <w:r>
              <w:rPr>
                <w:color w:val="000000"/>
              </w:rPr>
              <w:t>Establish a systematic cycle of curriculum review in line with the two-year a</w:t>
            </w:r>
            <w:r w:rsidR="00577701">
              <w:rPr>
                <w:color w:val="000000"/>
              </w:rPr>
              <w:t>ssessment cycle schedule as the institution implements improvements based on the results of assessment documented in the annual institutional assessment reports.</w:t>
            </w:r>
          </w:p>
        </w:tc>
      </w:tr>
      <w:tr w:rsidR="00E475E2"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E475E2" w:rsidRPr="001D23CF" w:rsidRDefault="00E475E2" w:rsidP="00FC7DB9">
            <w:pPr>
              <w:jc w:val="right"/>
              <w:rPr>
                <w:smallCaps/>
                <w:spacing w:val="20"/>
              </w:rPr>
            </w:pPr>
            <w:r w:rsidRPr="001D23CF">
              <w:rPr>
                <w:smallCaps/>
                <w:spacing w:val="20"/>
              </w:rPr>
              <w:t>Percent Completed</w:t>
            </w:r>
          </w:p>
        </w:tc>
        <w:tc>
          <w:tcPr>
            <w:tcW w:w="7547" w:type="dxa"/>
            <w:tcBorders>
              <w:top w:val="dotted" w:sz="4" w:space="0" w:color="auto"/>
              <w:left w:val="single" w:sz="6" w:space="0" w:color="auto"/>
              <w:bottom w:val="dotted" w:sz="4" w:space="0" w:color="auto"/>
            </w:tcBorders>
            <w:vAlign w:val="center"/>
          </w:tcPr>
          <w:p w:rsidR="00E475E2" w:rsidRPr="001D23CF" w:rsidRDefault="00A43D8F" w:rsidP="005802B1">
            <w:pPr>
              <w:rPr>
                <w:rFonts w:ascii="Calibri" w:hAnsi="Calibri"/>
                <w:color w:val="000000"/>
              </w:rPr>
            </w:pPr>
            <w:r>
              <w:rPr>
                <w:rFonts w:ascii="Calibri" w:hAnsi="Calibri"/>
                <w:color w:val="000000"/>
              </w:rPr>
              <w:t>95%</w:t>
            </w:r>
          </w:p>
        </w:tc>
      </w:tr>
      <w:tr w:rsidR="00E475E2"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E475E2" w:rsidRPr="001D23CF" w:rsidRDefault="00E475E2" w:rsidP="00FC7DB9">
            <w:pPr>
              <w:jc w:val="right"/>
              <w:rPr>
                <w:smallCaps/>
                <w:spacing w:val="20"/>
              </w:rPr>
            </w:pPr>
            <w:r w:rsidRPr="001D23CF">
              <w:rPr>
                <w:smallCaps/>
                <w:spacing w:val="20"/>
              </w:rPr>
              <w:t>Next Steps</w:t>
            </w:r>
          </w:p>
        </w:tc>
        <w:tc>
          <w:tcPr>
            <w:tcW w:w="7547" w:type="dxa"/>
            <w:tcBorders>
              <w:top w:val="dotted" w:sz="4" w:space="0" w:color="auto"/>
              <w:left w:val="single" w:sz="6" w:space="0" w:color="auto"/>
              <w:bottom w:val="dotted" w:sz="4" w:space="0" w:color="auto"/>
            </w:tcBorders>
            <w:vAlign w:val="center"/>
          </w:tcPr>
          <w:p w:rsidR="00E475E2" w:rsidRPr="00E475E2" w:rsidRDefault="00A43D8F" w:rsidP="0081355B">
            <w:pPr>
              <w:rPr>
                <w:rFonts w:cs="Times New Roman"/>
                <w:color w:val="000000"/>
              </w:rPr>
            </w:pPr>
            <w:r>
              <w:rPr>
                <w:rFonts w:cs="Times New Roman"/>
                <w:color w:val="000000"/>
              </w:rPr>
              <w:t>AIER will work with CCA and LOC to monitor and support the implementation of the annual curriculum review cycle.</w:t>
            </w:r>
          </w:p>
        </w:tc>
      </w:tr>
      <w:tr w:rsidR="00AB5CBB" w:rsidRPr="000B19E1" w:rsidTr="00B70B62">
        <w:trPr>
          <w:trHeight w:val="360"/>
          <w:jc w:val="center"/>
        </w:trPr>
        <w:tc>
          <w:tcPr>
            <w:tcW w:w="3253" w:type="dxa"/>
            <w:tcBorders>
              <w:top w:val="dotted" w:sz="4" w:space="0" w:color="auto"/>
              <w:bottom w:val="double" w:sz="2" w:space="0" w:color="auto"/>
              <w:right w:val="single" w:sz="6" w:space="0" w:color="auto"/>
            </w:tcBorders>
            <w:vAlign w:val="center"/>
          </w:tcPr>
          <w:p w:rsidR="00AB5CBB" w:rsidRPr="001D23CF" w:rsidRDefault="00AB5CBB" w:rsidP="00FC7DB9">
            <w:pPr>
              <w:jc w:val="right"/>
              <w:rPr>
                <w:smallCaps/>
                <w:spacing w:val="20"/>
              </w:rPr>
            </w:pPr>
            <w:r w:rsidRPr="001D23CF">
              <w:rPr>
                <w:smallCaps/>
                <w:spacing w:val="20"/>
              </w:rPr>
              <w:t>Comments</w:t>
            </w:r>
          </w:p>
        </w:tc>
        <w:tc>
          <w:tcPr>
            <w:tcW w:w="7547" w:type="dxa"/>
            <w:tcBorders>
              <w:top w:val="dotted" w:sz="4" w:space="0" w:color="auto"/>
              <w:left w:val="single" w:sz="6" w:space="0" w:color="auto"/>
              <w:bottom w:val="double" w:sz="2" w:space="0" w:color="auto"/>
            </w:tcBorders>
            <w:vAlign w:val="center"/>
          </w:tcPr>
          <w:p w:rsidR="00AB5CBB" w:rsidRPr="00AB5CBB" w:rsidRDefault="00FF71B6" w:rsidP="005802B1">
            <w:pPr>
              <w:rPr>
                <w:rFonts w:cs="Times New Roman"/>
                <w:color w:val="000000"/>
              </w:rPr>
            </w:pPr>
            <w:r>
              <w:rPr>
                <w:rFonts w:cs="Times New Roman"/>
                <w:color w:val="000000"/>
              </w:rPr>
              <w:t>AIER, CCA, and LOC continue to evaluate the effectiveness of the newly established cycle.</w:t>
            </w:r>
          </w:p>
        </w:tc>
      </w:tr>
    </w:tbl>
    <w:p w:rsidR="00B70B62" w:rsidRDefault="00B70B62"/>
    <w:tbl>
      <w:tblPr>
        <w:tblStyle w:val="TableGrid"/>
        <w:tblW w:w="10800" w:type="dxa"/>
        <w:jc w:val="center"/>
        <w:tblBorders>
          <w:top w:val="double" w:sz="2" w:space="0" w:color="auto"/>
          <w:left w:val="none" w:sz="0" w:space="0" w:color="auto"/>
          <w:bottom w:val="double" w:sz="4" w:space="0" w:color="auto"/>
          <w:right w:val="none" w:sz="0" w:space="0" w:color="auto"/>
          <w:insideH w:val="dotted" w:sz="4" w:space="0" w:color="auto"/>
          <w:insideV w:val="single" w:sz="6" w:space="0" w:color="auto"/>
        </w:tblBorders>
        <w:tblCellMar>
          <w:left w:w="115" w:type="dxa"/>
          <w:right w:w="115" w:type="dxa"/>
        </w:tblCellMar>
        <w:tblLook w:val="04A0"/>
      </w:tblPr>
      <w:tblGrid>
        <w:gridCol w:w="3253"/>
        <w:gridCol w:w="7547"/>
      </w:tblGrid>
      <w:tr w:rsidR="00B70B62" w:rsidRPr="001D23CF" w:rsidTr="00B70B62">
        <w:trPr>
          <w:trHeight w:val="360"/>
          <w:jc w:val="center"/>
        </w:trPr>
        <w:tc>
          <w:tcPr>
            <w:tcW w:w="3253" w:type="dxa"/>
            <w:vAlign w:val="center"/>
          </w:tcPr>
          <w:p w:rsidR="00B70B62" w:rsidRPr="00BB7463" w:rsidRDefault="00B70B62" w:rsidP="003E0E7F">
            <w:pPr>
              <w:pStyle w:val="ListParagraph"/>
              <w:numPr>
                <w:ilvl w:val="0"/>
                <w:numId w:val="1"/>
              </w:numPr>
              <w:ind w:left="335" w:hanging="335"/>
              <w:rPr>
                <w:b/>
                <w:smallCaps/>
                <w:spacing w:val="20"/>
                <w:sz w:val="26"/>
                <w:szCs w:val="26"/>
              </w:rPr>
            </w:pPr>
            <w:r w:rsidRPr="00BB7463">
              <w:rPr>
                <w:b/>
                <w:smallCaps/>
                <w:spacing w:val="20"/>
                <w:sz w:val="26"/>
                <w:szCs w:val="26"/>
              </w:rPr>
              <w:t>Specific   Activities to Address Task</w:t>
            </w:r>
          </w:p>
        </w:tc>
        <w:tc>
          <w:tcPr>
            <w:tcW w:w="7547" w:type="dxa"/>
            <w:vAlign w:val="center"/>
          </w:tcPr>
          <w:p w:rsidR="00B70B62" w:rsidRPr="001D23CF" w:rsidRDefault="006F1C64" w:rsidP="006F1C64">
            <w:r>
              <w:t>Explore the current student data available in the Banner Student Information System to expand the possibilities for them to obtain a degree or certificate.</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Person</w:t>
            </w:r>
            <w:r>
              <w:rPr>
                <w:smallCaps/>
                <w:spacing w:val="20"/>
              </w:rPr>
              <w:t>/Committee</w:t>
            </w:r>
            <w:r w:rsidRPr="001D23CF">
              <w:rPr>
                <w:smallCaps/>
                <w:spacing w:val="20"/>
              </w:rPr>
              <w:t xml:space="preserve"> Responsible</w:t>
            </w:r>
          </w:p>
        </w:tc>
        <w:tc>
          <w:tcPr>
            <w:tcW w:w="7547" w:type="dxa"/>
            <w:vAlign w:val="center"/>
          </w:tcPr>
          <w:p w:rsidR="00B70B62" w:rsidRPr="001D23CF" w:rsidRDefault="00797BC0" w:rsidP="003E0E7F">
            <w:pPr>
              <w:rPr>
                <w:rFonts w:ascii="Calibri" w:hAnsi="Calibri"/>
                <w:color w:val="000000"/>
              </w:rPr>
            </w:pPr>
            <w:r>
              <w:rPr>
                <w:rFonts w:ascii="Calibri" w:hAnsi="Calibri"/>
                <w:color w:val="000000"/>
              </w:rPr>
              <w:t>Admissions and Registration, Student Success Coordinator, Deans, AIER</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Timeline</w:t>
            </w:r>
          </w:p>
        </w:tc>
        <w:tc>
          <w:tcPr>
            <w:tcW w:w="7547" w:type="dxa"/>
            <w:vAlign w:val="center"/>
          </w:tcPr>
          <w:p w:rsidR="00B70B62" w:rsidRPr="001D23CF" w:rsidRDefault="002E4C5F" w:rsidP="003E0E7F">
            <w:pPr>
              <w:rPr>
                <w:rFonts w:ascii="Calibri" w:hAnsi="Calibri"/>
                <w:color w:val="000000"/>
              </w:rPr>
            </w:pPr>
            <w:r>
              <w:rPr>
                <w:rFonts w:ascii="Calibri" w:hAnsi="Calibri"/>
                <w:color w:val="000000"/>
              </w:rPr>
              <w:t>Spring 2015</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Status</w:t>
            </w:r>
          </w:p>
        </w:tc>
        <w:tc>
          <w:tcPr>
            <w:tcW w:w="7547" w:type="dxa"/>
            <w:vAlign w:val="center"/>
          </w:tcPr>
          <w:p w:rsidR="00B70B62" w:rsidRPr="001D23CF" w:rsidRDefault="002E4C5F" w:rsidP="003E0E7F">
            <w:pPr>
              <w:rPr>
                <w:rFonts w:ascii="Calibri" w:hAnsi="Calibri"/>
                <w:color w:val="000000"/>
              </w:rPr>
            </w:pPr>
            <w:r>
              <w:rPr>
                <w:rFonts w:ascii="Calibri" w:hAnsi="Calibri"/>
                <w:color w:val="000000"/>
              </w:rPr>
              <w:t>Ongoing</w:t>
            </w:r>
          </w:p>
        </w:tc>
      </w:tr>
      <w:tr w:rsidR="00B70B62" w:rsidRPr="00010082"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Performance Measure</w:t>
            </w:r>
          </w:p>
        </w:tc>
        <w:tc>
          <w:tcPr>
            <w:tcW w:w="7547" w:type="dxa"/>
            <w:vAlign w:val="center"/>
          </w:tcPr>
          <w:p w:rsidR="00B70B62" w:rsidRPr="00010082" w:rsidRDefault="006F1C64" w:rsidP="003E0E7F">
            <w:pPr>
              <w:rPr>
                <w:rFonts w:ascii="Calibri" w:hAnsi="Calibri"/>
                <w:color w:val="000000"/>
              </w:rPr>
            </w:pPr>
            <w:r>
              <w:rPr>
                <w:rFonts w:ascii="Calibri" w:hAnsi="Calibri"/>
                <w:color w:val="000000"/>
              </w:rPr>
              <w:t>Identification of students who have completed 45 credits or more and who have not received a degree or certificate in their declared program of study.</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Percent Completed</w:t>
            </w:r>
          </w:p>
        </w:tc>
        <w:tc>
          <w:tcPr>
            <w:tcW w:w="7547" w:type="dxa"/>
            <w:vAlign w:val="center"/>
          </w:tcPr>
          <w:p w:rsidR="00B70B62" w:rsidRPr="001D23CF" w:rsidRDefault="006F1C64" w:rsidP="003E0E7F">
            <w:pPr>
              <w:rPr>
                <w:rFonts w:ascii="Calibri" w:hAnsi="Calibri"/>
                <w:color w:val="000000"/>
              </w:rPr>
            </w:pPr>
            <w:r>
              <w:rPr>
                <w:rFonts w:ascii="Calibri" w:hAnsi="Calibri"/>
                <w:color w:val="000000"/>
              </w:rPr>
              <w:t>50%</w:t>
            </w:r>
          </w:p>
        </w:tc>
      </w:tr>
      <w:tr w:rsidR="00B70B62" w:rsidRPr="00010082"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Next Steps</w:t>
            </w:r>
          </w:p>
        </w:tc>
        <w:tc>
          <w:tcPr>
            <w:tcW w:w="7547" w:type="dxa"/>
            <w:vAlign w:val="center"/>
          </w:tcPr>
          <w:p w:rsidR="00B70B62" w:rsidRPr="00010082" w:rsidRDefault="00FC40F5" w:rsidP="003E0E7F">
            <w:pPr>
              <w:rPr>
                <w:rFonts w:ascii="Calibri" w:hAnsi="Calibri"/>
                <w:color w:val="000000"/>
              </w:rPr>
            </w:pPr>
            <w:r>
              <w:rPr>
                <w:rFonts w:ascii="Calibri" w:hAnsi="Calibri"/>
                <w:color w:val="000000"/>
              </w:rPr>
              <w:t>The list of students in the three degree programs will be provided to each program’s department chairperson for analysis and communication with the students.</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Comments</w:t>
            </w:r>
          </w:p>
        </w:tc>
        <w:tc>
          <w:tcPr>
            <w:tcW w:w="7547" w:type="dxa"/>
            <w:vAlign w:val="center"/>
          </w:tcPr>
          <w:p w:rsidR="00000AEB" w:rsidRPr="001D23CF" w:rsidRDefault="00F72F70" w:rsidP="00E26BEF">
            <w:pPr>
              <w:ind w:right="-115"/>
              <w:rPr>
                <w:rFonts w:ascii="Calibri" w:hAnsi="Calibri"/>
                <w:color w:val="000000"/>
              </w:rPr>
            </w:pPr>
            <w:r>
              <w:rPr>
                <w:rFonts w:ascii="Calibri" w:hAnsi="Calibri"/>
                <w:color w:val="000000"/>
              </w:rPr>
              <w:t>Per the Registrar, i</w:t>
            </w:r>
            <w:r w:rsidR="00000AEB" w:rsidRPr="00000AEB">
              <w:rPr>
                <w:rFonts w:ascii="Calibri" w:hAnsi="Calibri"/>
                <w:color w:val="000000"/>
              </w:rPr>
              <w:t xml:space="preserve">n an effort to accomplish the goal of Project Win-Win, data was gathered </w:t>
            </w:r>
            <w:r w:rsidR="00E26BEF">
              <w:rPr>
                <w:rFonts w:ascii="Calibri" w:hAnsi="Calibri"/>
                <w:color w:val="000000"/>
              </w:rPr>
              <w:t>on</w:t>
            </w:r>
            <w:r w:rsidR="00000AEB" w:rsidRPr="00000AEB">
              <w:rPr>
                <w:rFonts w:ascii="Calibri" w:hAnsi="Calibri"/>
                <w:color w:val="000000"/>
              </w:rPr>
              <w:t xml:space="preserve"> students declared in an associate degree program, who have not receive a formal award from GCC, and who have 45 GPA credits or more. F</w:t>
            </w:r>
            <w:r w:rsidR="006F1C64">
              <w:rPr>
                <w:rFonts w:ascii="Calibri" w:hAnsi="Calibri"/>
                <w:color w:val="000000"/>
              </w:rPr>
              <w:t>ro</w:t>
            </w:r>
            <w:r w:rsidR="00000AEB" w:rsidRPr="00000AEB">
              <w:rPr>
                <w:rFonts w:ascii="Calibri" w:hAnsi="Calibri"/>
                <w:color w:val="000000"/>
              </w:rPr>
              <w:t xml:space="preserve">m that base data, we selected </w:t>
            </w:r>
            <w:r w:rsidR="006F1C64">
              <w:rPr>
                <w:rFonts w:ascii="Calibri" w:hAnsi="Calibri"/>
                <w:color w:val="000000"/>
              </w:rPr>
              <w:t xml:space="preserve">the three </w:t>
            </w:r>
            <w:r w:rsidR="00000AEB" w:rsidRPr="00000AEB">
              <w:rPr>
                <w:rFonts w:ascii="Calibri" w:hAnsi="Calibri"/>
                <w:color w:val="000000"/>
              </w:rPr>
              <w:t xml:space="preserve">programs with </w:t>
            </w:r>
            <w:r w:rsidR="006F1C64">
              <w:rPr>
                <w:rFonts w:ascii="Calibri" w:hAnsi="Calibri"/>
                <w:color w:val="000000"/>
              </w:rPr>
              <w:t xml:space="preserve">the </w:t>
            </w:r>
            <w:r w:rsidR="00000AEB" w:rsidRPr="00000AEB">
              <w:rPr>
                <w:rFonts w:ascii="Calibri" w:hAnsi="Calibri"/>
                <w:color w:val="000000"/>
              </w:rPr>
              <w:t xml:space="preserve">highest number of eligible students. We use this final list to perform evaluations and to determine, based on the current catalog, how close they are to graduating, and encourage them to complete. The reason for using 45 credits or </w:t>
            </w:r>
            <w:r w:rsidR="00FC40F5">
              <w:rPr>
                <w:rFonts w:ascii="Calibri" w:hAnsi="Calibri"/>
                <w:color w:val="000000"/>
              </w:rPr>
              <w:t>greater</w:t>
            </w:r>
            <w:r w:rsidR="00000AEB" w:rsidRPr="00000AEB">
              <w:rPr>
                <w:rFonts w:ascii="Calibri" w:hAnsi="Calibri"/>
                <w:color w:val="000000"/>
              </w:rPr>
              <w:t>, was to focus on those who may have a reasonable chance of completing within a short period of time.</w:t>
            </w:r>
          </w:p>
        </w:tc>
      </w:tr>
      <w:tr w:rsidR="003607EE" w:rsidRPr="000B19E1" w:rsidTr="00D9581D">
        <w:tblPrEx>
          <w:tblBorders>
            <w:top w:val="none" w:sz="0" w:space="0" w:color="auto"/>
            <w:bottom w:val="single" w:sz="4" w:space="0" w:color="auto"/>
            <w:insideH w:val="single" w:sz="4" w:space="0" w:color="auto"/>
            <w:insideV w:val="single" w:sz="4" w:space="0" w:color="auto"/>
          </w:tblBorders>
        </w:tblPrEx>
        <w:trPr>
          <w:trHeight w:val="1080"/>
          <w:tblHeader/>
          <w:jc w:val="center"/>
        </w:trPr>
        <w:tc>
          <w:tcPr>
            <w:tcW w:w="3253" w:type="dxa"/>
            <w:tcBorders>
              <w:top w:val="double" w:sz="4" w:space="0" w:color="auto"/>
              <w:bottom w:val="single" w:sz="2" w:space="0" w:color="auto"/>
              <w:right w:val="single" w:sz="6" w:space="0" w:color="auto"/>
            </w:tcBorders>
            <w:shd w:val="clear" w:color="auto" w:fill="DBE5F1" w:themeFill="accent1" w:themeFillTint="33"/>
            <w:vAlign w:val="center"/>
          </w:tcPr>
          <w:p w:rsidR="003607EE" w:rsidRPr="00FC7DB9" w:rsidRDefault="00563505" w:rsidP="00563505">
            <w:pPr>
              <w:jc w:val="center"/>
              <w:rPr>
                <w:b/>
                <w:spacing w:val="100"/>
                <w:sz w:val="24"/>
                <w:szCs w:val="24"/>
              </w:rPr>
            </w:pPr>
            <w:r>
              <w:rPr>
                <w:b/>
                <w:spacing w:val="100"/>
                <w:sz w:val="24"/>
                <w:szCs w:val="24"/>
              </w:rPr>
              <w:lastRenderedPageBreak/>
              <w:t>Professional Development</w:t>
            </w:r>
          </w:p>
        </w:tc>
        <w:tc>
          <w:tcPr>
            <w:tcW w:w="7547" w:type="dxa"/>
            <w:tcBorders>
              <w:top w:val="double" w:sz="4" w:space="0" w:color="auto"/>
              <w:left w:val="single" w:sz="6" w:space="0" w:color="auto"/>
              <w:bottom w:val="single" w:sz="2" w:space="0" w:color="auto"/>
            </w:tcBorders>
            <w:shd w:val="clear" w:color="auto" w:fill="DBE5F1" w:themeFill="accent1" w:themeFillTint="33"/>
            <w:vAlign w:val="center"/>
          </w:tcPr>
          <w:p w:rsidR="003607EE" w:rsidRPr="00722BDF" w:rsidRDefault="00613339" w:rsidP="00613339">
            <w:pPr>
              <w:rPr>
                <w:caps/>
                <w:sz w:val="24"/>
                <w:szCs w:val="24"/>
              </w:rPr>
            </w:pPr>
            <w:r>
              <w:rPr>
                <w:caps/>
                <w:sz w:val="24"/>
                <w:szCs w:val="24"/>
              </w:rPr>
              <w:t>strengthen the professional development support for faculty to effectively implement the student-centered teaching method.</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720"/>
          <w:jc w:val="center"/>
        </w:trPr>
        <w:tc>
          <w:tcPr>
            <w:tcW w:w="3253" w:type="dxa"/>
            <w:tcBorders>
              <w:top w:val="single" w:sz="2" w:space="0" w:color="auto"/>
              <w:bottom w:val="dotted" w:sz="4" w:space="0" w:color="auto"/>
              <w:right w:val="single" w:sz="6" w:space="0" w:color="auto"/>
            </w:tcBorders>
            <w:vAlign w:val="center"/>
          </w:tcPr>
          <w:p w:rsidR="00912024" w:rsidRPr="00BB7463" w:rsidRDefault="00912024" w:rsidP="00BB7463">
            <w:pPr>
              <w:pStyle w:val="ListParagraph"/>
              <w:numPr>
                <w:ilvl w:val="0"/>
                <w:numId w:val="2"/>
              </w:numPr>
              <w:ind w:left="335" w:hanging="335"/>
              <w:rPr>
                <w:b/>
                <w:smallCaps/>
                <w:spacing w:val="20"/>
                <w:sz w:val="26"/>
                <w:szCs w:val="26"/>
              </w:rPr>
            </w:pPr>
            <w:r w:rsidRPr="00BB7463">
              <w:rPr>
                <w:b/>
                <w:smallCaps/>
                <w:spacing w:val="20"/>
                <w:sz w:val="26"/>
                <w:szCs w:val="26"/>
              </w:rPr>
              <w:t>Specific   Activities to Address Task</w:t>
            </w:r>
          </w:p>
        </w:tc>
        <w:tc>
          <w:tcPr>
            <w:tcW w:w="7547" w:type="dxa"/>
            <w:tcBorders>
              <w:top w:val="single" w:sz="2" w:space="0" w:color="auto"/>
              <w:left w:val="single" w:sz="6" w:space="0" w:color="auto"/>
              <w:bottom w:val="dotted" w:sz="4" w:space="0" w:color="auto"/>
            </w:tcBorders>
            <w:vAlign w:val="center"/>
          </w:tcPr>
          <w:p w:rsidR="00912024" w:rsidRPr="00912024" w:rsidRDefault="00FE06AA" w:rsidP="00FE06AA">
            <w:pPr>
              <w:ind w:right="-115"/>
              <w:rPr>
                <w:rFonts w:cs="Times New Roman"/>
              </w:rPr>
            </w:pPr>
            <w:r>
              <w:rPr>
                <w:rFonts w:cs="Times New Roman"/>
              </w:rPr>
              <w:t>Extend the College’s achievement of Sustainable Continuous Quality Improvement on the ACCJC Rubric for Evaluating Institutional Effectiveness through a revisit of the student learning outcomes published in the College catalog.</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912024" w:rsidRPr="001D23CF" w:rsidRDefault="00912024" w:rsidP="00743E6C">
            <w:pPr>
              <w:jc w:val="right"/>
              <w:rPr>
                <w:smallCaps/>
                <w:spacing w:val="20"/>
              </w:rPr>
            </w:pPr>
            <w:r w:rsidRPr="001D23CF">
              <w:rPr>
                <w:smallCaps/>
                <w:spacing w:val="20"/>
              </w:rPr>
              <w:t>Person</w:t>
            </w:r>
            <w:r>
              <w:rPr>
                <w:smallCaps/>
                <w:spacing w:val="20"/>
              </w:rPr>
              <w:t>/Committee</w:t>
            </w:r>
            <w:r w:rsidRPr="001D23CF">
              <w:rPr>
                <w:smallCaps/>
                <w:spacing w:val="20"/>
              </w:rPr>
              <w:t xml:space="preserve"> Responsible</w:t>
            </w:r>
          </w:p>
        </w:tc>
        <w:tc>
          <w:tcPr>
            <w:tcW w:w="7547" w:type="dxa"/>
            <w:tcBorders>
              <w:top w:val="dotted" w:sz="4" w:space="0" w:color="auto"/>
              <w:left w:val="single" w:sz="6" w:space="0" w:color="auto"/>
              <w:bottom w:val="dotted" w:sz="4" w:space="0" w:color="auto"/>
            </w:tcBorders>
            <w:vAlign w:val="center"/>
          </w:tcPr>
          <w:p w:rsidR="00912024" w:rsidRPr="001D23CF" w:rsidRDefault="00FE06AA" w:rsidP="005802B1">
            <w:pPr>
              <w:rPr>
                <w:rFonts w:ascii="Calibri" w:hAnsi="Calibri"/>
                <w:color w:val="000000"/>
              </w:rPr>
            </w:pPr>
            <w:r>
              <w:rPr>
                <w:rFonts w:ascii="Calibri" w:hAnsi="Calibri"/>
                <w:color w:val="000000"/>
              </w:rPr>
              <w:t>AIER, CCA, LOC, Deans</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912024" w:rsidRPr="001D23CF" w:rsidRDefault="00912024" w:rsidP="00743E6C">
            <w:pPr>
              <w:jc w:val="right"/>
              <w:rPr>
                <w:smallCaps/>
                <w:spacing w:val="20"/>
              </w:rPr>
            </w:pPr>
            <w:r w:rsidRPr="001D23CF">
              <w:rPr>
                <w:smallCaps/>
                <w:spacing w:val="20"/>
              </w:rPr>
              <w:t>Timeline</w:t>
            </w:r>
          </w:p>
        </w:tc>
        <w:tc>
          <w:tcPr>
            <w:tcW w:w="7547" w:type="dxa"/>
            <w:tcBorders>
              <w:top w:val="dotted" w:sz="4" w:space="0" w:color="auto"/>
              <w:left w:val="single" w:sz="6" w:space="0" w:color="auto"/>
              <w:bottom w:val="dotted" w:sz="4" w:space="0" w:color="auto"/>
            </w:tcBorders>
            <w:vAlign w:val="center"/>
          </w:tcPr>
          <w:p w:rsidR="00912024" w:rsidRPr="001D23CF" w:rsidRDefault="00FE06AA" w:rsidP="00743E6C">
            <w:pPr>
              <w:rPr>
                <w:rFonts w:ascii="Calibri" w:hAnsi="Calibri"/>
                <w:color w:val="000000"/>
              </w:rPr>
            </w:pPr>
            <w:r>
              <w:rPr>
                <w:rFonts w:ascii="Calibri" w:hAnsi="Calibri"/>
                <w:color w:val="000000"/>
              </w:rPr>
              <w:t>Fall 2015</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912024" w:rsidRPr="001D23CF" w:rsidRDefault="00912024" w:rsidP="00743E6C">
            <w:pPr>
              <w:jc w:val="right"/>
              <w:rPr>
                <w:smallCaps/>
                <w:spacing w:val="20"/>
              </w:rPr>
            </w:pPr>
            <w:r w:rsidRPr="001D23CF">
              <w:rPr>
                <w:smallCaps/>
                <w:spacing w:val="20"/>
              </w:rPr>
              <w:t>Status</w:t>
            </w:r>
          </w:p>
        </w:tc>
        <w:tc>
          <w:tcPr>
            <w:tcW w:w="7547" w:type="dxa"/>
            <w:tcBorders>
              <w:top w:val="dotted" w:sz="4" w:space="0" w:color="auto"/>
              <w:left w:val="single" w:sz="6" w:space="0" w:color="auto"/>
              <w:bottom w:val="dotted" w:sz="4" w:space="0" w:color="auto"/>
            </w:tcBorders>
            <w:shd w:val="clear" w:color="auto" w:fill="FFFFFF" w:themeFill="background1"/>
            <w:vAlign w:val="center"/>
          </w:tcPr>
          <w:p w:rsidR="00912024" w:rsidRPr="007E3EAF" w:rsidRDefault="00FE06AA" w:rsidP="005802B1">
            <w:pPr>
              <w:rPr>
                <w:rFonts w:ascii="Calibri" w:hAnsi="Calibri"/>
                <w:color w:val="000000"/>
              </w:rPr>
            </w:pPr>
            <w:r>
              <w:rPr>
                <w:rFonts w:ascii="Calibri" w:hAnsi="Calibri"/>
                <w:color w:val="000000"/>
              </w:rPr>
              <w:t>Ongoing</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912024" w:rsidRPr="001D23CF" w:rsidRDefault="00912024" w:rsidP="00743E6C">
            <w:pPr>
              <w:jc w:val="right"/>
              <w:rPr>
                <w:smallCaps/>
                <w:spacing w:val="20"/>
              </w:rPr>
            </w:pPr>
            <w:r w:rsidRPr="001D23CF">
              <w:rPr>
                <w:smallCaps/>
                <w:spacing w:val="20"/>
              </w:rPr>
              <w:t>Performance Measure</w:t>
            </w:r>
          </w:p>
        </w:tc>
        <w:tc>
          <w:tcPr>
            <w:tcW w:w="7547" w:type="dxa"/>
            <w:tcBorders>
              <w:top w:val="dotted" w:sz="4" w:space="0" w:color="auto"/>
              <w:left w:val="single" w:sz="6" w:space="0" w:color="auto"/>
              <w:bottom w:val="dotted" w:sz="4" w:space="0" w:color="auto"/>
            </w:tcBorders>
            <w:vAlign w:val="center"/>
          </w:tcPr>
          <w:p w:rsidR="00912024" w:rsidRPr="001D23CF" w:rsidRDefault="00FE06AA" w:rsidP="005802B1">
            <w:pPr>
              <w:rPr>
                <w:rFonts w:ascii="Calibri" w:hAnsi="Calibri"/>
                <w:color w:val="000000"/>
              </w:rPr>
            </w:pPr>
            <w:r>
              <w:rPr>
                <w:rFonts w:ascii="Calibri" w:hAnsi="Calibri"/>
                <w:color w:val="000000"/>
              </w:rPr>
              <w:t>The publication of a Student Learning Outcomes Handbook which guides the College on best practices for developing and refining student learning outcomes that are measurable and identifies the learning that students should achieve.</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912024" w:rsidRPr="001D23CF" w:rsidRDefault="00912024" w:rsidP="00743E6C">
            <w:pPr>
              <w:jc w:val="right"/>
              <w:rPr>
                <w:smallCaps/>
                <w:spacing w:val="20"/>
              </w:rPr>
            </w:pPr>
            <w:r w:rsidRPr="001D23CF">
              <w:rPr>
                <w:smallCaps/>
                <w:spacing w:val="20"/>
              </w:rPr>
              <w:t>Percent Completed</w:t>
            </w:r>
          </w:p>
        </w:tc>
        <w:tc>
          <w:tcPr>
            <w:tcW w:w="7547" w:type="dxa"/>
            <w:tcBorders>
              <w:top w:val="dotted" w:sz="4" w:space="0" w:color="auto"/>
              <w:left w:val="single" w:sz="6" w:space="0" w:color="auto"/>
              <w:bottom w:val="dotted" w:sz="4" w:space="0" w:color="auto"/>
            </w:tcBorders>
            <w:vAlign w:val="center"/>
          </w:tcPr>
          <w:p w:rsidR="00912024" w:rsidRPr="001D23CF" w:rsidRDefault="00F16456" w:rsidP="00EE1E5E">
            <w:pPr>
              <w:rPr>
                <w:rFonts w:ascii="Calibri" w:hAnsi="Calibri"/>
                <w:color w:val="000000"/>
              </w:rPr>
            </w:pPr>
            <w:r>
              <w:rPr>
                <w:rFonts w:ascii="Calibri" w:hAnsi="Calibri"/>
                <w:color w:val="000000"/>
              </w:rPr>
              <w:t>90%</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912024" w:rsidRPr="001D23CF" w:rsidRDefault="00912024" w:rsidP="00743E6C">
            <w:pPr>
              <w:jc w:val="right"/>
              <w:rPr>
                <w:smallCaps/>
                <w:spacing w:val="20"/>
              </w:rPr>
            </w:pPr>
            <w:r w:rsidRPr="001D23CF">
              <w:rPr>
                <w:smallCaps/>
                <w:spacing w:val="20"/>
              </w:rPr>
              <w:t>Next Steps</w:t>
            </w:r>
          </w:p>
        </w:tc>
        <w:tc>
          <w:tcPr>
            <w:tcW w:w="7547" w:type="dxa"/>
            <w:tcBorders>
              <w:top w:val="dotted" w:sz="4" w:space="0" w:color="auto"/>
              <w:left w:val="single" w:sz="6" w:space="0" w:color="auto"/>
              <w:bottom w:val="dotted" w:sz="4" w:space="0" w:color="auto"/>
            </w:tcBorders>
            <w:vAlign w:val="center"/>
          </w:tcPr>
          <w:p w:rsidR="00912024" w:rsidRPr="001D23CF" w:rsidRDefault="00F16456" w:rsidP="00F16456">
            <w:pPr>
              <w:rPr>
                <w:rFonts w:ascii="Calibri" w:hAnsi="Calibri"/>
                <w:color w:val="000000"/>
              </w:rPr>
            </w:pPr>
            <w:r>
              <w:rPr>
                <w:rFonts w:ascii="Calibri" w:hAnsi="Calibri"/>
                <w:color w:val="000000"/>
              </w:rPr>
              <w:t>The CCA and LOC incorporate the SLO best practices into the regular semester training sessions held.</w:t>
            </w:r>
          </w:p>
        </w:tc>
      </w:tr>
      <w:tr w:rsidR="00912024"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uble" w:sz="2" w:space="0" w:color="auto"/>
              <w:right w:val="single" w:sz="6" w:space="0" w:color="auto"/>
            </w:tcBorders>
            <w:vAlign w:val="center"/>
          </w:tcPr>
          <w:p w:rsidR="00912024" w:rsidRPr="001D23CF" w:rsidRDefault="00912024" w:rsidP="00743E6C">
            <w:pPr>
              <w:jc w:val="right"/>
              <w:rPr>
                <w:smallCaps/>
                <w:spacing w:val="20"/>
              </w:rPr>
            </w:pPr>
            <w:r w:rsidRPr="001D23CF">
              <w:rPr>
                <w:smallCaps/>
                <w:spacing w:val="20"/>
              </w:rPr>
              <w:t>Comments</w:t>
            </w:r>
          </w:p>
        </w:tc>
        <w:tc>
          <w:tcPr>
            <w:tcW w:w="7547" w:type="dxa"/>
            <w:tcBorders>
              <w:top w:val="dotted" w:sz="4" w:space="0" w:color="auto"/>
              <w:left w:val="single" w:sz="6" w:space="0" w:color="auto"/>
              <w:bottom w:val="double" w:sz="2" w:space="0" w:color="auto"/>
            </w:tcBorders>
            <w:vAlign w:val="center"/>
          </w:tcPr>
          <w:p w:rsidR="00912024" w:rsidRPr="001D23CF" w:rsidRDefault="009B5B25" w:rsidP="00194A12">
            <w:pPr>
              <w:rPr>
                <w:rFonts w:ascii="Calibri" w:hAnsi="Calibri"/>
                <w:color w:val="000000"/>
              </w:rPr>
            </w:pPr>
            <w:r>
              <w:rPr>
                <w:rFonts w:ascii="Calibri" w:hAnsi="Calibri"/>
                <w:color w:val="000000"/>
              </w:rPr>
              <w:t>The annual institutional assessment report section on SLO evaluation based on best practices identified in the SLO handbook.</w:t>
            </w:r>
            <w:r w:rsidR="00E90166">
              <w:rPr>
                <w:rFonts w:ascii="Calibri" w:hAnsi="Calibri"/>
                <w:color w:val="000000"/>
              </w:rPr>
              <w:t xml:space="preserve"> The Fall 2014 CCA Assessment Leadership Summit session on Student Learning Outcomes attendees requested an expanded SLO Handbook for specific examples for authors to follow.</w:t>
            </w:r>
            <w:r w:rsidR="00C05EF8">
              <w:rPr>
                <w:rFonts w:ascii="Calibri" w:hAnsi="Calibri"/>
                <w:color w:val="000000"/>
              </w:rPr>
              <w:t xml:space="preserve"> The Spring 2015 Assessment Day will have a focused session on SLO development and measurement.</w:t>
            </w:r>
          </w:p>
        </w:tc>
      </w:tr>
    </w:tbl>
    <w:p w:rsidR="003607EE" w:rsidRDefault="003607EE" w:rsidP="00D9581D">
      <w:pPr>
        <w:spacing w:after="0"/>
      </w:pPr>
    </w:p>
    <w:tbl>
      <w:tblPr>
        <w:tblStyle w:val="TableGrid"/>
        <w:tblW w:w="10800" w:type="dxa"/>
        <w:jc w:val="center"/>
        <w:tblBorders>
          <w:top w:val="double" w:sz="2" w:space="0" w:color="auto"/>
          <w:left w:val="none" w:sz="0" w:space="0" w:color="auto"/>
          <w:bottom w:val="double" w:sz="4" w:space="0" w:color="auto"/>
          <w:right w:val="none" w:sz="0" w:space="0" w:color="auto"/>
          <w:insideH w:val="dotted" w:sz="4" w:space="0" w:color="auto"/>
          <w:insideV w:val="single" w:sz="6" w:space="0" w:color="auto"/>
        </w:tblBorders>
        <w:tblCellMar>
          <w:left w:w="115" w:type="dxa"/>
          <w:right w:w="115" w:type="dxa"/>
        </w:tblCellMar>
        <w:tblLook w:val="04A0"/>
      </w:tblPr>
      <w:tblGrid>
        <w:gridCol w:w="3253"/>
        <w:gridCol w:w="7547"/>
      </w:tblGrid>
      <w:tr w:rsidR="00B31DF3" w:rsidRPr="001D23CF" w:rsidTr="003E0E7F">
        <w:trPr>
          <w:trHeight w:val="360"/>
          <w:jc w:val="center"/>
        </w:trPr>
        <w:tc>
          <w:tcPr>
            <w:tcW w:w="3253" w:type="dxa"/>
            <w:vAlign w:val="center"/>
          </w:tcPr>
          <w:p w:rsidR="00B31DF3" w:rsidRPr="00BB7463" w:rsidRDefault="00B31DF3" w:rsidP="00B31DF3">
            <w:pPr>
              <w:pStyle w:val="ListParagraph"/>
              <w:numPr>
                <w:ilvl w:val="0"/>
                <w:numId w:val="2"/>
              </w:numPr>
              <w:ind w:left="335" w:hanging="335"/>
              <w:rPr>
                <w:b/>
                <w:smallCaps/>
                <w:spacing w:val="20"/>
                <w:sz w:val="26"/>
                <w:szCs w:val="26"/>
              </w:rPr>
            </w:pPr>
            <w:r w:rsidRPr="00BB7463">
              <w:rPr>
                <w:b/>
                <w:smallCaps/>
                <w:spacing w:val="20"/>
                <w:sz w:val="26"/>
                <w:szCs w:val="26"/>
              </w:rPr>
              <w:t>Specific   Activities to Address Task</w:t>
            </w:r>
          </w:p>
        </w:tc>
        <w:tc>
          <w:tcPr>
            <w:tcW w:w="7547" w:type="dxa"/>
            <w:vAlign w:val="center"/>
          </w:tcPr>
          <w:p w:rsidR="00B31DF3" w:rsidRPr="001D23CF" w:rsidRDefault="002E5D39" w:rsidP="00130A2F">
            <w:r>
              <w:t>Develop and implement a comprehensive and unified professional development plan for all employees that</w:t>
            </w:r>
            <w:r w:rsidR="000E693B">
              <w:t xml:space="preserve"> </w:t>
            </w:r>
            <w:r w:rsidR="00130A2F">
              <w:t>promote student success</w:t>
            </w:r>
            <w:r w:rsidR="00476378">
              <w:t>.</w:t>
            </w:r>
          </w:p>
        </w:tc>
      </w:tr>
      <w:tr w:rsidR="00B31DF3" w:rsidRPr="001D23CF" w:rsidTr="003E0E7F">
        <w:trPr>
          <w:trHeight w:val="360"/>
          <w:jc w:val="center"/>
        </w:trPr>
        <w:tc>
          <w:tcPr>
            <w:tcW w:w="3253" w:type="dxa"/>
            <w:vAlign w:val="center"/>
          </w:tcPr>
          <w:p w:rsidR="00B31DF3" w:rsidRPr="001D23CF" w:rsidRDefault="00B31DF3" w:rsidP="003E0E7F">
            <w:pPr>
              <w:jc w:val="right"/>
              <w:rPr>
                <w:smallCaps/>
                <w:spacing w:val="20"/>
              </w:rPr>
            </w:pPr>
            <w:r w:rsidRPr="001D23CF">
              <w:rPr>
                <w:smallCaps/>
                <w:spacing w:val="20"/>
              </w:rPr>
              <w:t>Person</w:t>
            </w:r>
            <w:r>
              <w:rPr>
                <w:smallCaps/>
                <w:spacing w:val="20"/>
              </w:rPr>
              <w:t>/Committee</w:t>
            </w:r>
            <w:r w:rsidRPr="001D23CF">
              <w:rPr>
                <w:smallCaps/>
                <w:spacing w:val="20"/>
              </w:rPr>
              <w:t xml:space="preserve"> Responsible</w:t>
            </w:r>
          </w:p>
        </w:tc>
        <w:tc>
          <w:tcPr>
            <w:tcW w:w="7547" w:type="dxa"/>
            <w:vAlign w:val="center"/>
          </w:tcPr>
          <w:p w:rsidR="00B31DF3" w:rsidRPr="001D23CF" w:rsidRDefault="00476378" w:rsidP="003E0E7F">
            <w:pPr>
              <w:rPr>
                <w:rFonts w:ascii="Calibri" w:hAnsi="Calibri"/>
                <w:color w:val="000000"/>
              </w:rPr>
            </w:pPr>
            <w:r>
              <w:rPr>
                <w:rFonts w:ascii="Calibri" w:hAnsi="Calibri"/>
                <w:color w:val="000000"/>
              </w:rPr>
              <w:t>PDRC, SAPDC</w:t>
            </w:r>
          </w:p>
        </w:tc>
      </w:tr>
      <w:tr w:rsidR="00B31DF3" w:rsidRPr="001D23CF" w:rsidTr="003E0E7F">
        <w:trPr>
          <w:trHeight w:val="360"/>
          <w:jc w:val="center"/>
        </w:trPr>
        <w:tc>
          <w:tcPr>
            <w:tcW w:w="3253" w:type="dxa"/>
            <w:vAlign w:val="center"/>
          </w:tcPr>
          <w:p w:rsidR="00B31DF3" w:rsidRPr="001D23CF" w:rsidRDefault="00B31DF3" w:rsidP="003E0E7F">
            <w:pPr>
              <w:jc w:val="right"/>
              <w:rPr>
                <w:smallCaps/>
                <w:spacing w:val="20"/>
              </w:rPr>
            </w:pPr>
            <w:r w:rsidRPr="001D23CF">
              <w:rPr>
                <w:smallCaps/>
                <w:spacing w:val="20"/>
              </w:rPr>
              <w:t>Timeline</w:t>
            </w:r>
          </w:p>
        </w:tc>
        <w:tc>
          <w:tcPr>
            <w:tcW w:w="7547" w:type="dxa"/>
            <w:vAlign w:val="center"/>
          </w:tcPr>
          <w:p w:rsidR="00B31DF3" w:rsidRPr="001D23CF" w:rsidRDefault="00476378" w:rsidP="003E0E7F">
            <w:pPr>
              <w:rPr>
                <w:rFonts w:ascii="Calibri" w:hAnsi="Calibri"/>
                <w:color w:val="000000"/>
              </w:rPr>
            </w:pPr>
            <w:r>
              <w:rPr>
                <w:rFonts w:ascii="Calibri" w:hAnsi="Calibri"/>
                <w:color w:val="000000"/>
              </w:rPr>
              <w:t>Annually</w:t>
            </w:r>
          </w:p>
        </w:tc>
      </w:tr>
      <w:tr w:rsidR="00B31DF3" w:rsidRPr="001D23CF" w:rsidTr="003E0E7F">
        <w:trPr>
          <w:trHeight w:val="360"/>
          <w:jc w:val="center"/>
        </w:trPr>
        <w:tc>
          <w:tcPr>
            <w:tcW w:w="3253" w:type="dxa"/>
            <w:vAlign w:val="center"/>
          </w:tcPr>
          <w:p w:rsidR="00B31DF3" w:rsidRPr="001D23CF" w:rsidRDefault="00B31DF3" w:rsidP="003E0E7F">
            <w:pPr>
              <w:jc w:val="right"/>
              <w:rPr>
                <w:smallCaps/>
                <w:spacing w:val="20"/>
              </w:rPr>
            </w:pPr>
            <w:r w:rsidRPr="001D23CF">
              <w:rPr>
                <w:smallCaps/>
                <w:spacing w:val="20"/>
              </w:rPr>
              <w:t>Status</w:t>
            </w:r>
          </w:p>
        </w:tc>
        <w:tc>
          <w:tcPr>
            <w:tcW w:w="7547" w:type="dxa"/>
            <w:vAlign w:val="center"/>
          </w:tcPr>
          <w:p w:rsidR="00B31DF3" w:rsidRPr="001D23CF" w:rsidRDefault="00907846" w:rsidP="003E0E7F">
            <w:pPr>
              <w:rPr>
                <w:rFonts w:ascii="Calibri" w:hAnsi="Calibri"/>
                <w:color w:val="000000"/>
              </w:rPr>
            </w:pPr>
            <w:r>
              <w:rPr>
                <w:rFonts w:ascii="Calibri" w:hAnsi="Calibri"/>
                <w:color w:val="000000"/>
              </w:rPr>
              <w:t>Ongoing</w:t>
            </w:r>
          </w:p>
        </w:tc>
      </w:tr>
      <w:tr w:rsidR="00B31DF3" w:rsidRPr="00010082" w:rsidTr="003E0E7F">
        <w:trPr>
          <w:trHeight w:val="360"/>
          <w:jc w:val="center"/>
        </w:trPr>
        <w:tc>
          <w:tcPr>
            <w:tcW w:w="3253" w:type="dxa"/>
            <w:vAlign w:val="center"/>
          </w:tcPr>
          <w:p w:rsidR="00B31DF3" w:rsidRPr="001D23CF" w:rsidRDefault="00B31DF3" w:rsidP="003E0E7F">
            <w:pPr>
              <w:jc w:val="right"/>
              <w:rPr>
                <w:smallCaps/>
                <w:spacing w:val="20"/>
              </w:rPr>
            </w:pPr>
            <w:r w:rsidRPr="001D23CF">
              <w:rPr>
                <w:smallCaps/>
                <w:spacing w:val="20"/>
              </w:rPr>
              <w:t>Performance Measure</w:t>
            </w:r>
          </w:p>
        </w:tc>
        <w:tc>
          <w:tcPr>
            <w:tcW w:w="7547" w:type="dxa"/>
            <w:vAlign w:val="center"/>
          </w:tcPr>
          <w:p w:rsidR="00B31DF3" w:rsidRPr="00010082" w:rsidRDefault="00476378" w:rsidP="00907846">
            <w:pPr>
              <w:rPr>
                <w:rFonts w:ascii="Calibri" w:hAnsi="Calibri"/>
                <w:color w:val="000000"/>
              </w:rPr>
            </w:pPr>
            <w:r>
              <w:rPr>
                <w:rFonts w:ascii="Calibri" w:hAnsi="Calibri"/>
                <w:color w:val="000000"/>
              </w:rPr>
              <w:t xml:space="preserve">Fall and Spring PD activities </w:t>
            </w:r>
            <w:r w:rsidR="00907846">
              <w:rPr>
                <w:rFonts w:ascii="Calibri" w:hAnsi="Calibri"/>
                <w:color w:val="000000"/>
              </w:rPr>
              <w:t>align with the Institutional Priorities for Professional Development</w:t>
            </w:r>
            <w:r>
              <w:rPr>
                <w:rFonts w:ascii="Calibri" w:hAnsi="Calibri"/>
                <w:color w:val="000000"/>
              </w:rPr>
              <w:t xml:space="preserve"> </w:t>
            </w:r>
          </w:p>
        </w:tc>
      </w:tr>
      <w:tr w:rsidR="00B31DF3" w:rsidRPr="001D23CF" w:rsidTr="003E0E7F">
        <w:trPr>
          <w:trHeight w:val="360"/>
          <w:jc w:val="center"/>
        </w:trPr>
        <w:tc>
          <w:tcPr>
            <w:tcW w:w="3253" w:type="dxa"/>
            <w:vAlign w:val="center"/>
          </w:tcPr>
          <w:p w:rsidR="00B31DF3" w:rsidRPr="001D23CF" w:rsidRDefault="00B31DF3" w:rsidP="003E0E7F">
            <w:pPr>
              <w:jc w:val="right"/>
              <w:rPr>
                <w:smallCaps/>
                <w:spacing w:val="20"/>
              </w:rPr>
            </w:pPr>
            <w:r w:rsidRPr="001D23CF">
              <w:rPr>
                <w:smallCaps/>
                <w:spacing w:val="20"/>
              </w:rPr>
              <w:t>Percent Completed</w:t>
            </w:r>
          </w:p>
        </w:tc>
        <w:tc>
          <w:tcPr>
            <w:tcW w:w="7547" w:type="dxa"/>
            <w:vAlign w:val="center"/>
          </w:tcPr>
          <w:p w:rsidR="00B31DF3" w:rsidRPr="001D23CF" w:rsidRDefault="00907846" w:rsidP="003E0E7F">
            <w:pPr>
              <w:rPr>
                <w:rFonts w:ascii="Calibri" w:hAnsi="Calibri"/>
                <w:color w:val="000000"/>
              </w:rPr>
            </w:pPr>
            <w:r>
              <w:rPr>
                <w:rFonts w:ascii="Calibri" w:hAnsi="Calibri"/>
                <w:color w:val="000000"/>
              </w:rPr>
              <w:t>50%</w:t>
            </w:r>
          </w:p>
        </w:tc>
      </w:tr>
      <w:tr w:rsidR="00B31DF3" w:rsidRPr="00010082" w:rsidTr="003E0E7F">
        <w:trPr>
          <w:trHeight w:val="360"/>
          <w:jc w:val="center"/>
        </w:trPr>
        <w:tc>
          <w:tcPr>
            <w:tcW w:w="3253" w:type="dxa"/>
            <w:vAlign w:val="center"/>
          </w:tcPr>
          <w:p w:rsidR="00B31DF3" w:rsidRPr="001D23CF" w:rsidRDefault="00B31DF3" w:rsidP="003E0E7F">
            <w:pPr>
              <w:jc w:val="right"/>
              <w:rPr>
                <w:smallCaps/>
                <w:spacing w:val="20"/>
              </w:rPr>
            </w:pPr>
            <w:r w:rsidRPr="001D23CF">
              <w:rPr>
                <w:smallCaps/>
                <w:spacing w:val="20"/>
              </w:rPr>
              <w:t>Next Steps</w:t>
            </w:r>
          </w:p>
        </w:tc>
        <w:tc>
          <w:tcPr>
            <w:tcW w:w="7547" w:type="dxa"/>
            <w:vAlign w:val="center"/>
          </w:tcPr>
          <w:p w:rsidR="00B31DF3" w:rsidRPr="00010082" w:rsidRDefault="00907846" w:rsidP="003E0E7F">
            <w:pPr>
              <w:rPr>
                <w:rFonts w:ascii="Calibri" w:hAnsi="Calibri"/>
                <w:color w:val="000000"/>
              </w:rPr>
            </w:pPr>
            <w:r>
              <w:rPr>
                <w:rFonts w:ascii="Calibri" w:hAnsi="Calibri"/>
                <w:color w:val="000000"/>
              </w:rPr>
              <w:t>PDRC and SAPDC year-end reports summarizing activities funded in the academic year and the alignment to the academic year’s Institutional Priorities identified.</w:t>
            </w:r>
          </w:p>
        </w:tc>
      </w:tr>
      <w:tr w:rsidR="00B31DF3" w:rsidRPr="001D23CF" w:rsidTr="003E0E7F">
        <w:trPr>
          <w:trHeight w:val="360"/>
          <w:jc w:val="center"/>
        </w:trPr>
        <w:tc>
          <w:tcPr>
            <w:tcW w:w="3253" w:type="dxa"/>
            <w:vAlign w:val="center"/>
          </w:tcPr>
          <w:p w:rsidR="00B31DF3" w:rsidRPr="001D23CF" w:rsidRDefault="00B31DF3" w:rsidP="003E0E7F">
            <w:pPr>
              <w:jc w:val="right"/>
              <w:rPr>
                <w:smallCaps/>
                <w:spacing w:val="20"/>
              </w:rPr>
            </w:pPr>
            <w:r w:rsidRPr="001D23CF">
              <w:rPr>
                <w:smallCaps/>
                <w:spacing w:val="20"/>
              </w:rPr>
              <w:t>Comments</w:t>
            </w:r>
          </w:p>
        </w:tc>
        <w:tc>
          <w:tcPr>
            <w:tcW w:w="7547" w:type="dxa"/>
            <w:vAlign w:val="center"/>
          </w:tcPr>
          <w:p w:rsidR="00B31DF3" w:rsidRPr="001D23CF" w:rsidRDefault="009C4645" w:rsidP="003E0E7F">
            <w:pPr>
              <w:rPr>
                <w:rFonts w:ascii="Calibri" w:hAnsi="Calibri"/>
                <w:color w:val="000000"/>
              </w:rPr>
            </w:pPr>
            <w:r>
              <w:rPr>
                <w:rFonts w:ascii="Calibri" w:hAnsi="Calibri"/>
                <w:color w:val="000000"/>
              </w:rPr>
              <w:t>Committees have new members who may need an orientation to the importance of professional development and the investment the College makes in its employees.</w:t>
            </w:r>
          </w:p>
        </w:tc>
      </w:tr>
    </w:tbl>
    <w:p w:rsidR="00B92256" w:rsidRDefault="00B92256" w:rsidP="005B2F9E"/>
    <w:p w:rsidR="0090073F" w:rsidRDefault="0090073F" w:rsidP="005B2F9E"/>
    <w:sectPr w:rsidR="0090073F" w:rsidSect="00B70B62">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E72" w:rsidRDefault="003D3E72" w:rsidP="0021186E">
      <w:pPr>
        <w:spacing w:after="0" w:line="240" w:lineRule="auto"/>
      </w:pPr>
      <w:r>
        <w:separator/>
      </w:r>
    </w:p>
  </w:endnote>
  <w:endnote w:type="continuationSeparator" w:id="0">
    <w:p w:rsidR="003D3E72" w:rsidRDefault="003D3E72" w:rsidP="0021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E72" w:rsidRDefault="003D3E72" w:rsidP="0021186E">
      <w:pPr>
        <w:spacing w:after="0" w:line="240" w:lineRule="auto"/>
      </w:pPr>
      <w:r>
        <w:separator/>
      </w:r>
    </w:p>
  </w:footnote>
  <w:footnote w:type="continuationSeparator" w:id="0">
    <w:p w:rsidR="003D3E72" w:rsidRDefault="003D3E72" w:rsidP="00211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85"/>
      <w:gridCol w:w="2545"/>
    </w:tblGrid>
    <w:tr w:rsidR="00B70B62">
      <w:trPr>
        <w:trHeight w:val="288"/>
      </w:trPr>
      <w:sdt>
        <w:sdtPr>
          <w:rPr>
            <w:rFonts w:asciiTheme="majorHAnsi" w:eastAsiaTheme="majorEastAsia" w:hAnsiTheme="majorHAnsi" w:cstheme="majorBidi"/>
            <w:smallCaps/>
            <w:spacing w:val="20"/>
            <w:sz w:val="32"/>
            <w:szCs w:val="32"/>
          </w:rPr>
          <w:alias w:val="Title"/>
          <w:id w:val="77761602"/>
          <w:placeholder>
            <w:docPart w:val="2982296E2C214DD9BCFA8340DB931DA0"/>
          </w:placeholder>
          <w:dataBinding w:prefixMappings="xmlns:ns0='http://schemas.openxmlformats.org/package/2006/metadata/core-properties' xmlns:ns1='http://purl.org/dc/elements/1.1/'" w:xpath="/ns0:coreProperties[1]/ns1:title[1]" w:storeItemID="{6C3C8BC8-F283-45AE-878A-BAB7291924A1}"/>
          <w:text/>
        </w:sdtPr>
        <w:sdtContent>
          <w:tc>
            <w:tcPr>
              <w:tcW w:w="8485" w:type="dxa"/>
            </w:tcPr>
            <w:p w:rsidR="00B70B62" w:rsidRDefault="00B70B62" w:rsidP="002325F9">
              <w:pPr>
                <w:pStyle w:val="Header"/>
                <w:jc w:val="right"/>
                <w:rPr>
                  <w:rFonts w:asciiTheme="majorHAnsi" w:eastAsiaTheme="majorEastAsia" w:hAnsiTheme="majorHAnsi" w:cstheme="majorBidi"/>
                  <w:sz w:val="36"/>
                  <w:szCs w:val="36"/>
                </w:rPr>
              </w:pPr>
              <w:r w:rsidRPr="002968E8">
                <w:rPr>
                  <w:rFonts w:asciiTheme="majorHAnsi" w:eastAsiaTheme="majorEastAsia" w:hAnsiTheme="majorHAnsi" w:cstheme="majorBidi"/>
                  <w:smallCaps/>
                  <w:spacing w:val="20"/>
                  <w:sz w:val="32"/>
                  <w:szCs w:val="32"/>
                </w:rPr>
                <w:t>Institutional Strategic Master Plan 20</w:t>
              </w:r>
              <w:r>
                <w:rPr>
                  <w:rFonts w:asciiTheme="majorHAnsi" w:eastAsiaTheme="majorEastAsia" w:hAnsiTheme="majorHAnsi" w:cstheme="majorBidi"/>
                  <w:smallCaps/>
                  <w:spacing w:val="20"/>
                  <w:sz w:val="32"/>
                  <w:szCs w:val="32"/>
                </w:rPr>
                <w:t>14-</w:t>
              </w:r>
              <w:r w:rsidRPr="002968E8">
                <w:rPr>
                  <w:rFonts w:asciiTheme="majorHAnsi" w:eastAsiaTheme="majorEastAsia" w:hAnsiTheme="majorHAnsi" w:cstheme="majorBidi"/>
                  <w:smallCaps/>
                  <w:spacing w:val="20"/>
                  <w:sz w:val="32"/>
                  <w:szCs w:val="32"/>
                </w:rPr>
                <w:t>20</w:t>
              </w:r>
              <w:r>
                <w:rPr>
                  <w:rFonts w:asciiTheme="majorHAnsi" w:eastAsiaTheme="majorEastAsia" w:hAnsiTheme="majorHAnsi" w:cstheme="majorBidi"/>
                  <w:smallCaps/>
                  <w:spacing w:val="20"/>
                  <w:sz w:val="32"/>
                  <w:szCs w:val="32"/>
                </w:rPr>
                <w:t>20</w:t>
              </w:r>
              <w:r w:rsidRPr="002968E8">
                <w:rPr>
                  <w:rFonts w:asciiTheme="majorHAnsi" w:eastAsiaTheme="majorEastAsia" w:hAnsiTheme="majorHAnsi" w:cstheme="majorBidi"/>
                  <w:smallCaps/>
                  <w:spacing w:val="20"/>
                  <w:sz w:val="32"/>
                  <w:szCs w:val="32"/>
                </w:rPr>
                <w:t xml:space="preserve">               Goal#</w:t>
              </w:r>
              <w:r>
                <w:rPr>
                  <w:rFonts w:asciiTheme="majorHAnsi" w:eastAsiaTheme="majorEastAsia" w:hAnsiTheme="majorHAnsi" w:cstheme="majorBidi"/>
                  <w:smallCaps/>
                  <w:spacing w:val="20"/>
                  <w:sz w:val="32"/>
                  <w:szCs w:val="32"/>
                </w:rPr>
                <w:t>1</w:t>
              </w:r>
              <w:r w:rsidRPr="002968E8">
                <w:rPr>
                  <w:rFonts w:asciiTheme="majorHAnsi" w:eastAsiaTheme="majorEastAsia" w:hAnsiTheme="majorHAnsi" w:cstheme="majorBidi"/>
                  <w:smallCaps/>
                  <w:spacing w:val="20"/>
                  <w:sz w:val="32"/>
                  <w:szCs w:val="32"/>
                </w:rPr>
                <w:t xml:space="preserve"> ~ </w:t>
              </w:r>
              <w:r>
                <w:rPr>
                  <w:rFonts w:asciiTheme="majorHAnsi" w:eastAsiaTheme="majorEastAsia" w:hAnsiTheme="majorHAnsi" w:cstheme="majorBidi"/>
                  <w:smallCaps/>
                  <w:spacing w:val="20"/>
                  <w:sz w:val="32"/>
                  <w:szCs w:val="32"/>
                </w:rPr>
                <w:t>Retention and Completion</w:t>
              </w:r>
            </w:p>
          </w:tc>
        </w:sdtContent>
      </w:sdt>
      <w:tc>
        <w:tcPr>
          <w:tcW w:w="2545" w:type="dxa"/>
          <w:vMerge w:val="restart"/>
          <w:vAlign w:val="center"/>
        </w:tcPr>
        <w:p w:rsidR="00B70B62" w:rsidRPr="002968E8" w:rsidRDefault="00B70B62" w:rsidP="002325F9">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As of October 2014</w:t>
          </w:r>
        </w:p>
      </w:tc>
    </w:tr>
    <w:tr w:rsidR="00B70B62">
      <w:trPr>
        <w:trHeight w:val="288"/>
      </w:trPr>
      <w:tc>
        <w:tcPr>
          <w:tcW w:w="8485" w:type="dxa"/>
        </w:tcPr>
        <w:p w:rsidR="00B70B62" w:rsidRPr="002968E8" w:rsidRDefault="00B70B62" w:rsidP="002325F9">
          <w:pPr>
            <w:pStyle w:val="Header"/>
            <w:jc w:val="right"/>
            <w:rPr>
              <w:rFonts w:asciiTheme="majorHAnsi" w:eastAsiaTheme="majorEastAsia" w:hAnsiTheme="majorHAnsi" w:cstheme="majorBidi"/>
              <w:smallCaps/>
              <w:spacing w:val="20"/>
              <w:sz w:val="32"/>
              <w:szCs w:val="32"/>
            </w:rPr>
          </w:pPr>
          <w:r w:rsidRPr="00613339">
            <w:rPr>
              <w:b/>
              <w:sz w:val="24"/>
              <w:szCs w:val="24"/>
            </w:rPr>
            <w:t>Strengthen and improve curriculum and educational delivery to provide a student-centered educational experience t</w:t>
          </w:r>
          <w:r>
            <w:rPr>
              <w:b/>
              <w:sz w:val="24"/>
              <w:szCs w:val="24"/>
            </w:rPr>
            <w:t>h</w:t>
          </w:r>
          <w:r w:rsidRPr="00613339">
            <w:rPr>
              <w:b/>
              <w:sz w:val="24"/>
              <w:szCs w:val="24"/>
            </w:rPr>
            <w:t>at fosters retention and completion to prepare our students for engagement in a global workforce.</w:t>
          </w:r>
        </w:p>
      </w:tc>
      <w:tc>
        <w:tcPr>
          <w:tcW w:w="2545" w:type="dxa"/>
          <w:vMerge/>
          <w:vAlign w:val="center"/>
        </w:tcPr>
        <w:p w:rsidR="00B70B62" w:rsidRDefault="00B70B62" w:rsidP="002325F9">
          <w:pPr>
            <w:pStyle w:val="Header"/>
            <w:jc w:val="center"/>
            <w:rPr>
              <w:rFonts w:asciiTheme="majorHAnsi" w:eastAsiaTheme="majorEastAsia" w:hAnsiTheme="majorHAnsi" w:cstheme="majorBidi"/>
              <w:b/>
              <w:bCs/>
              <w:color w:val="4F81BD" w:themeColor="accent1"/>
            </w:rPr>
          </w:pPr>
        </w:p>
      </w:tc>
    </w:tr>
  </w:tbl>
  <w:p w:rsidR="0021186E" w:rsidRDefault="0021186E" w:rsidP="0021186E">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363AE"/>
    <w:multiLevelType w:val="hybridMultilevel"/>
    <w:tmpl w:val="77627306"/>
    <w:lvl w:ilvl="0" w:tplc="0AD84C72">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F4FC4"/>
    <w:multiLevelType w:val="hybridMultilevel"/>
    <w:tmpl w:val="6940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F5425A"/>
    <w:multiLevelType w:val="hybridMultilevel"/>
    <w:tmpl w:val="3B90615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B73D4"/>
    <w:multiLevelType w:val="hybridMultilevel"/>
    <w:tmpl w:val="2A30F9A6"/>
    <w:lvl w:ilvl="0" w:tplc="1E9475AE">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4B42E6"/>
    <w:rsid w:val="00000AEB"/>
    <w:rsid w:val="00003771"/>
    <w:rsid w:val="000066AD"/>
    <w:rsid w:val="00006EF1"/>
    <w:rsid w:val="00010082"/>
    <w:rsid w:val="00012F81"/>
    <w:rsid w:val="00013764"/>
    <w:rsid w:val="0001510D"/>
    <w:rsid w:val="00015748"/>
    <w:rsid w:val="000354C7"/>
    <w:rsid w:val="00043209"/>
    <w:rsid w:val="00043E49"/>
    <w:rsid w:val="000442F8"/>
    <w:rsid w:val="00044B9F"/>
    <w:rsid w:val="00050EDE"/>
    <w:rsid w:val="00055FA9"/>
    <w:rsid w:val="000653D7"/>
    <w:rsid w:val="00080B8D"/>
    <w:rsid w:val="00087AD8"/>
    <w:rsid w:val="000A2DFB"/>
    <w:rsid w:val="000B19E1"/>
    <w:rsid w:val="000B45C2"/>
    <w:rsid w:val="000B7ACD"/>
    <w:rsid w:val="000C2296"/>
    <w:rsid w:val="000D6442"/>
    <w:rsid w:val="000E693B"/>
    <w:rsid w:val="001060DF"/>
    <w:rsid w:val="00113D42"/>
    <w:rsid w:val="001158F0"/>
    <w:rsid w:val="00130A2F"/>
    <w:rsid w:val="00144762"/>
    <w:rsid w:val="00151819"/>
    <w:rsid w:val="0015191B"/>
    <w:rsid w:val="00177635"/>
    <w:rsid w:val="00181451"/>
    <w:rsid w:val="001837B2"/>
    <w:rsid w:val="00194A12"/>
    <w:rsid w:val="001A13F7"/>
    <w:rsid w:val="001A646A"/>
    <w:rsid w:val="001B11CC"/>
    <w:rsid w:val="001B732D"/>
    <w:rsid w:val="001D0707"/>
    <w:rsid w:val="001D0BE2"/>
    <w:rsid w:val="001D16CF"/>
    <w:rsid w:val="001D23CF"/>
    <w:rsid w:val="001D26FE"/>
    <w:rsid w:val="001D397C"/>
    <w:rsid w:val="001D6EB4"/>
    <w:rsid w:val="001E0496"/>
    <w:rsid w:val="001E6C03"/>
    <w:rsid w:val="001E7B40"/>
    <w:rsid w:val="001F1106"/>
    <w:rsid w:val="001F34FB"/>
    <w:rsid w:val="001F5E02"/>
    <w:rsid w:val="001F5E42"/>
    <w:rsid w:val="00205395"/>
    <w:rsid w:val="0021186E"/>
    <w:rsid w:val="00213125"/>
    <w:rsid w:val="00215CEC"/>
    <w:rsid w:val="0023143A"/>
    <w:rsid w:val="002325F9"/>
    <w:rsid w:val="00235B28"/>
    <w:rsid w:val="00253C50"/>
    <w:rsid w:val="002578F0"/>
    <w:rsid w:val="0026096F"/>
    <w:rsid w:val="00281F60"/>
    <w:rsid w:val="00282FFD"/>
    <w:rsid w:val="00290694"/>
    <w:rsid w:val="00290BF4"/>
    <w:rsid w:val="00293C9C"/>
    <w:rsid w:val="002968E8"/>
    <w:rsid w:val="00296AE5"/>
    <w:rsid w:val="00297DD0"/>
    <w:rsid w:val="002A0C47"/>
    <w:rsid w:val="002A5071"/>
    <w:rsid w:val="002A5E15"/>
    <w:rsid w:val="002B2BB3"/>
    <w:rsid w:val="002B38C8"/>
    <w:rsid w:val="002B65B9"/>
    <w:rsid w:val="002C0175"/>
    <w:rsid w:val="002C1EE3"/>
    <w:rsid w:val="002C4803"/>
    <w:rsid w:val="002D1144"/>
    <w:rsid w:val="002D1E3A"/>
    <w:rsid w:val="002D2BD9"/>
    <w:rsid w:val="002D6CAC"/>
    <w:rsid w:val="002E4C5F"/>
    <w:rsid w:val="002E5D39"/>
    <w:rsid w:val="002E5E7C"/>
    <w:rsid w:val="002E6CCA"/>
    <w:rsid w:val="00305CAB"/>
    <w:rsid w:val="003074FA"/>
    <w:rsid w:val="00321790"/>
    <w:rsid w:val="003343EC"/>
    <w:rsid w:val="00336E3B"/>
    <w:rsid w:val="00337523"/>
    <w:rsid w:val="00340083"/>
    <w:rsid w:val="00342810"/>
    <w:rsid w:val="00345862"/>
    <w:rsid w:val="00351D6D"/>
    <w:rsid w:val="00352137"/>
    <w:rsid w:val="00357C06"/>
    <w:rsid w:val="003607EE"/>
    <w:rsid w:val="00360A15"/>
    <w:rsid w:val="00377136"/>
    <w:rsid w:val="003777B0"/>
    <w:rsid w:val="00383174"/>
    <w:rsid w:val="00387AD9"/>
    <w:rsid w:val="003912AC"/>
    <w:rsid w:val="00392260"/>
    <w:rsid w:val="003956D9"/>
    <w:rsid w:val="003A49A1"/>
    <w:rsid w:val="003A4CF5"/>
    <w:rsid w:val="003B004E"/>
    <w:rsid w:val="003B3986"/>
    <w:rsid w:val="003B46EF"/>
    <w:rsid w:val="003C1BD0"/>
    <w:rsid w:val="003D3AAF"/>
    <w:rsid w:val="003D3E72"/>
    <w:rsid w:val="003D5EAB"/>
    <w:rsid w:val="003D6155"/>
    <w:rsid w:val="003E68FD"/>
    <w:rsid w:val="003E7321"/>
    <w:rsid w:val="003F1249"/>
    <w:rsid w:val="003F1FC4"/>
    <w:rsid w:val="003F61A4"/>
    <w:rsid w:val="003F6983"/>
    <w:rsid w:val="00400E9F"/>
    <w:rsid w:val="00402A83"/>
    <w:rsid w:val="004048BC"/>
    <w:rsid w:val="0041037E"/>
    <w:rsid w:val="004127BA"/>
    <w:rsid w:val="0041602E"/>
    <w:rsid w:val="00426F5F"/>
    <w:rsid w:val="004440AE"/>
    <w:rsid w:val="00447A72"/>
    <w:rsid w:val="004553A5"/>
    <w:rsid w:val="00462FB9"/>
    <w:rsid w:val="004635B4"/>
    <w:rsid w:val="0046681A"/>
    <w:rsid w:val="004713B3"/>
    <w:rsid w:val="004749D3"/>
    <w:rsid w:val="00476378"/>
    <w:rsid w:val="00482A79"/>
    <w:rsid w:val="00484C03"/>
    <w:rsid w:val="00494854"/>
    <w:rsid w:val="00496D6F"/>
    <w:rsid w:val="004A28CE"/>
    <w:rsid w:val="004A5E56"/>
    <w:rsid w:val="004B42E6"/>
    <w:rsid w:val="004B5498"/>
    <w:rsid w:val="004B7465"/>
    <w:rsid w:val="004C0F6C"/>
    <w:rsid w:val="004E1DF5"/>
    <w:rsid w:val="004E2BAA"/>
    <w:rsid w:val="004E4F71"/>
    <w:rsid w:val="004F5A8A"/>
    <w:rsid w:val="00507727"/>
    <w:rsid w:val="00514418"/>
    <w:rsid w:val="00516475"/>
    <w:rsid w:val="005164C4"/>
    <w:rsid w:val="00536A17"/>
    <w:rsid w:val="00543ACD"/>
    <w:rsid w:val="00543EBA"/>
    <w:rsid w:val="005459AB"/>
    <w:rsid w:val="005555AB"/>
    <w:rsid w:val="00563505"/>
    <w:rsid w:val="00566590"/>
    <w:rsid w:val="005679C8"/>
    <w:rsid w:val="00570A4C"/>
    <w:rsid w:val="00574C29"/>
    <w:rsid w:val="00576E29"/>
    <w:rsid w:val="00577701"/>
    <w:rsid w:val="00577DED"/>
    <w:rsid w:val="005868E6"/>
    <w:rsid w:val="00590407"/>
    <w:rsid w:val="005962EC"/>
    <w:rsid w:val="005A110A"/>
    <w:rsid w:val="005A2343"/>
    <w:rsid w:val="005A2702"/>
    <w:rsid w:val="005A3631"/>
    <w:rsid w:val="005A3F66"/>
    <w:rsid w:val="005A7EB7"/>
    <w:rsid w:val="005B2CBD"/>
    <w:rsid w:val="005B2F9E"/>
    <w:rsid w:val="005B3A08"/>
    <w:rsid w:val="005C030C"/>
    <w:rsid w:val="005D49BF"/>
    <w:rsid w:val="005D7D13"/>
    <w:rsid w:val="005E2531"/>
    <w:rsid w:val="005F3EDB"/>
    <w:rsid w:val="006005A4"/>
    <w:rsid w:val="00600E35"/>
    <w:rsid w:val="00603C48"/>
    <w:rsid w:val="006040F6"/>
    <w:rsid w:val="00611E9A"/>
    <w:rsid w:val="00612B11"/>
    <w:rsid w:val="00613339"/>
    <w:rsid w:val="00624C33"/>
    <w:rsid w:val="00630FDD"/>
    <w:rsid w:val="006320DB"/>
    <w:rsid w:val="0063469F"/>
    <w:rsid w:val="00635E58"/>
    <w:rsid w:val="00637DAE"/>
    <w:rsid w:val="00647FDD"/>
    <w:rsid w:val="0065609B"/>
    <w:rsid w:val="00670D23"/>
    <w:rsid w:val="00670E4F"/>
    <w:rsid w:val="00672E11"/>
    <w:rsid w:val="00676AF5"/>
    <w:rsid w:val="006840D0"/>
    <w:rsid w:val="00692639"/>
    <w:rsid w:val="00694358"/>
    <w:rsid w:val="006A74D1"/>
    <w:rsid w:val="006B156B"/>
    <w:rsid w:val="006B2F08"/>
    <w:rsid w:val="006C239F"/>
    <w:rsid w:val="006E01B7"/>
    <w:rsid w:val="006E0971"/>
    <w:rsid w:val="006E2673"/>
    <w:rsid w:val="006F1C64"/>
    <w:rsid w:val="006F3BF1"/>
    <w:rsid w:val="006F4E06"/>
    <w:rsid w:val="006F5D6B"/>
    <w:rsid w:val="006F697E"/>
    <w:rsid w:val="006F73E8"/>
    <w:rsid w:val="007000D8"/>
    <w:rsid w:val="00702BAB"/>
    <w:rsid w:val="00710C09"/>
    <w:rsid w:val="007134FB"/>
    <w:rsid w:val="00721526"/>
    <w:rsid w:val="00722BDF"/>
    <w:rsid w:val="00732B0A"/>
    <w:rsid w:val="00733C01"/>
    <w:rsid w:val="00741BF6"/>
    <w:rsid w:val="00742662"/>
    <w:rsid w:val="0075672E"/>
    <w:rsid w:val="00763789"/>
    <w:rsid w:val="00764FA7"/>
    <w:rsid w:val="00766D27"/>
    <w:rsid w:val="0078327F"/>
    <w:rsid w:val="00797BC0"/>
    <w:rsid w:val="007C6391"/>
    <w:rsid w:val="007C6B76"/>
    <w:rsid w:val="007D3477"/>
    <w:rsid w:val="007D47BD"/>
    <w:rsid w:val="007D7EF2"/>
    <w:rsid w:val="007E3EAF"/>
    <w:rsid w:val="007E4928"/>
    <w:rsid w:val="007E50C9"/>
    <w:rsid w:val="007F1F06"/>
    <w:rsid w:val="007F2DBB"/>
    <w:rsid w:val="007F44DB"/>
    <w:rsid w:val="007F75CF"/>
    <w:rsid w:val="007F7C39"/>
    <w:rsid w:val="008054D9"/>
    <w:rsid w:val="00807BAD"/>
    <w:rsid w:val="008119D0"/>
    <w:rsid w:val="0081355B"/>
    <w:rsid w:val="008144F6"/>
    <w:rsid w:val="00817DBB"/>
    <w:rsid w:val="0082209F"/>
    <w:rsid w:val="00822E63"/>
    <w:rsid w:val="00827161"/>
    <w:rsid w:val="00832695"/>
    <w:rsid w:val="00840D55"/>
    <w:rsid w:val="00843DD2"/>
    <w:rsid w:val="00847248"/>
    <w:rsid w:val="00850429"/>
    <w:rsid w:val="00856BB6"/>
    <w:rsid w:val="0086069E"/>
    <w:rsid w:val="00861363"/>
    <w:rsid w:val="00863BA8"/>
    <w:rsid w:val="008648AF"/>
    <w:rsid w:val="008706F3"/>
    <w:rsid w:val="00875EED"/>
    <w:rsid w:val="00877A4A"/>
    <w:rsid w:val="00880E32"/>
    <w:rsid w:val="008902C0"/>
    <w:rsid w:val="00892038"/>
    <w:rsid w:val="008A0EDE"/>
    <w:rsid w:val="008B286A"/>
    <w:rsid w:val="008C3D31"/>
    <w:rsid w:val="008D26DD"/>
    <w:rsid w:val="008D78A0"/>
    <w:rsid w:val="008F11A6"/>
    <w:rsid w:val="0090073F"/>
    <w:rsid w:val="00903A1A"/>
    <w:rsid w:val="00907846"/>
    <w:rsid w:val="00912024"/>
    <w:rsid w:val="00922150"/>
    <w:rsid w:val="0092414E"/>
    <w:rsid w:val="00941AD3"/>
    <w:rsid w:val="00947D1C"/>
    <w:rsid w:val="009532E5"/>
    <w:rsid w:val="009638DF"/>
    <w:rsid w:val="0096698F"/>
    <w:rsid w:val="0097298B"/>
    <w:rsid w:val="00974C33"/>
    <w:rsid w:val="00981AA7"/>
    <w:rsid w:val="00984BF4"/>
    <w:rsid w:val="00991253"/>
    <w:rsid w:val="00991CFB"/>
    <w:rsid w:val="00997EF4"/>
    <w:rsid w:val="009A4931"/>
    <w:rsid w:val="009B5B25"/>
    <w:rsid w:val="009C027C"/>
    <w:rsid w:val="009C083E"/>
    <w:rsid w:val="009C4645"/>
    <w:rsid w:val="009C7314"/>
    <w:rsid w:val="009D011E"/>
    <w:rsid w:val="009D0170"/>
    <w:rsid w:val="009D0725"/>
    <w:rsid w:val="009D3AE9"/>
    <w:rsid w:val="009D549D"/>
    <w:rsid w:val="009D5D21"/>
    <w:rsid w:val="009E2B94"/>
    <w:rsid w:val="009E52EC"/>
    <w:rsid w:val="009E7F01"/>
    <w:rsid w:val="009F1A68"/>
    <w:rsid w:val="00A00084"/>
    <w:rsid w:val="00A0008F"/>
    <w:rsid w:val="00A050F1"/>
    <w:rsid w:val="00A12B07"/>
    <w:rsid w:val="00A14ACB"/>
    <w:rsid w:val="00A1613E"/>
    <w:rsid w:val="00A20EAC"/>
    <w:rsid w:val="00A234A2"/>
    <w:rsid w:val="00A30996"/>
    <w:rsid w:val="00A320D8"/>
    <w:rsid w:val="00A32111"/>
    <w:rsid w:val="00A34549"/>
    <w:rsid w:val="00A42630"/>
    <w:rsid w:val="00A43D8F"/>
    <w:rsid w:val="00A46490"/>
    <w:rsid w:val="00A55806"/>
    <w:rsid w:val="00A571B7"/>
    <w:rsid w:val="00A57BEF"/>
    <w:rsid w:val="00A70D17"/>
    <w:rsid w:val="00A91097"/>
    <w:rsid w:val="00AA12FF"/>
    <w:rsid w:val="00AA1FDD"/>
    <w:rsid w:val="00AA303B"/>
    <w:rsid w:val="00AA62B5"/>
    <w:rsid w:val="00AA6331"/>
    <w:rsid w:val="00AB42B5"/>
    <w:rsid w:val="00AB5CBB"/>
    <w:rsid w:val="00AB679F"/>
    <w:rsid w:val="00AE3265"/>
    <w:rsid w:val="00AE33DC"/>
    <w:rsid w:val="00AE7D47"/>
    <w:rsid w:val="00AE7EBD"/>
    <w:rsid w:val="00AF4821"/>
    <w:rsid w:val="00B0632E"/>
    <w:rsid w:val="00B13DA2"/>
    <w:rsid w:val="00B14639"/>
    <w:rsid w:val="00B14C45"/>
    <w:rsid w:val="00B15527"/>
    <w:rsid w:val="00B27AB4"/>
    <w:rsid w:val="00B30257"/>
    <w:rsid w:val="00B31DF3"/>
    <w:rsid w:val="00B3584A"/>
    <w:rsid w:val="00B37563"/>
    <w:rsid w:val="00B41680"/>
    <w:rsid w:val="00B43FA6"/>
    <w:rsid w:val="00B609FD"/>
    <w:rsid w:val="00B62A15"/>
    <w:rsid w:val="00B70B62"/>
    <w:rsid w:val="00B70E62"/>
    <w:rsid w:val="00B73EC8"/>
    <w:rsid w:val="00B80533"/>
    <w:rsid w:val="00B857B4"/>
    <w:rsid w:val="00B90C91"/>
    <w:rsid w:val="00B92256"/>
    <w:rsid w:val="00B96215"/>
    <w:rsid w:val="00BA13A0"/>
    <w:rsid w:val="00BA72B6"/>
    <w:rsid w:val="00BB53EC"/>
    <w:rsid w:val="00BB7463"/>
    <w:rsid w:val="00BC04A9"/>
    <w:rsid w:val="00BC0D52"/>
    <w:rsid w:val="00BD3938"/>
    <w:rsid w:val="00BD4D2F"/>
    <w:rsid w:val="00BD5D39"/>
    <w:rsid w:val="00BE06B0"/>
    <w:rsid w:val="00BE2220"/>
    <w:rsid w:val="00BF0C09"/>
    <w:rsid w:val="00BF6808"/>
    <w:rsid w:val="00C00BB0"/>
    <w:rsid w:val="00C05EF8"/>
    <w:rsid w:val="00C11EF3"/>
    <w:rsid w:val="00C20C2C"/>
    <w:rsid w:val="00C301EE"/>
    <w:rsid w:val="00C33038"/>
    <w:rsid w:val="00C3342D"/>
    <w:rsid w:val="00C36B6C"/>
    <w:rsid w:val="00C370AA"/>
    <w:rsid w:val="00C43189"/>
    <w:rsid w:val="00C70BF5"/>
    <w:rsid w:val="00C8093C"/>
    <w:rsid w:val="00C85A3E"/>
    <w:rsid w:val="00C92AF5"/>
    <w:rsid w:val="00CA1260"/>
    <w:rsid w:val="00CA32A6"/>
    <w:rsid w:val="00CB175B"/>
    <w:rsid w:val="00CC23AA"/>
    <w:rsid w:val="00CC39C1"/>
    <w:rsid w:val="00CC6BBF"/>
    <w:rsid w:val="00CD0750"/>
    <w:rsid w:val="00CD087E"/>
    <w:rsid w:val="00CD1F26"/>
    <w:rsid w:val="00CD24A6"/>
    <w:rsid w:val="00CD5741"/>
    <w:rsid w:val="00CE71C8"/>
    <w:rsid w:val="00CE78B7"/>
    <w:rsid w:val="00CF2D2D"/>
    <w:rsid w:val="00D00CC8"/>
    <w:rsid w:val="00D0123D"/>
    <w:rsid w:val="00D01566"/>
    <w:rsid w:val="00D069F2"/>
    <w:rsid w:val="00D07E5D"/>
    <w:rsid w:val="00D1545A"/>
    <w:rsid w:val="00D24E94"/>
    <w:rsid w:val="00D278D3"/>
    <w:rsid w:val="00D322E3"/>
    <w:rsid w:val="00D33C42"/>
    <w:rsid w:val="00D35498"/>
    <w:rsid w:val="00D355B1"/>
    <w:rsid w:val="00D35697"/>
    <w:rsid w:val="00D35DA9"/>
    <w:rsid w:val="00D5435F"/>
    <w:rsid w:val="00D546E5"/>
    <w:rsid w:val="00D56A75"/>
    <w:rsid w:val="00D747E3"/>
    <w:rsid w:val="00D748E8"/>
    <w:rsid w:val="00D76A7C"/>
    <w:rsid w:val="00D8311C"/>
    <w:rsid w:val="00D85F46"/>
    <w:rsid w:val="00D9244A"/>
    <w:rsid w:val="00D94B6E"/>
    <w:rsid w:val="00D9581D"/>
    <w:rsid w:val="00DC035B"/>
    <w:rsid w:val="00DC06BB"/>
    <w:rsid w:val="00DC0DB8"/>
    <w:rsid w:val="00DD0A96"/>
    <w:rsid w:val="00DD6B10"/>
    <w:rsid w:val="00DE3142"/>
    <w:rsid w:val="00DF45C2"/>
    <w:rsid w:val="00DF5746"/>
    <w:rsid w:val="00DF6B0A"/>
    <w:rsid w:val="00E00418"/>
    <w:rsid w:val="00E01184"/>
    <w:rsid w:val="00E01C88"/>
    <w:rsid w:val="00E03F5A"/>
    <w:rsid w:val="00E20574"/>
    <w:rsid w:val="00E22E45"/>
    <w:rsid w:val="00E261C4"/>
    <w:rsid w:val="00E26BEF"/>
    <w:rsid w:val="00E3157A"/>
    <w:rsid w:val="00E475E2"/>
    <w:rsid w:val="00E54CB5"/>
    <w:rsid w:val="00E54D57"/>
    <w:rsid w:val="00E54FEC"/>
    <w:rsid w:val="00E561FC"/>
    <w:rsid w:val="00E62F16"/>
    <w:rsid w:val="00E64628"/>
    <w:rsid w:val="00E73975"/>
    <w:rsid w:val="00E761B0"/>
    <w:rsid w:val="00E80D83"/>
    <w:rsid w:val="00E816FD"/>
    <w:rsid w:val="00E85364"/>
    <w:rsid w:val="00E90166"/>
    <w:rsid w:val="00E908E5"/>
    <w:rsid w:val="00E93C09"/>
    <w:rsid w:val="00E96015"/>
    <w:rsid w:val="00EA45CF"/>
    <w:rsid w:val="00EC7788"/>
    <w:rsid w:val="00ED7DB9"/>
    <w:rsid w:val="00EE1E5E"/>
    <w:rsid w:val="00EE62F5"/>
    <w:rsid w:val="00EF6FBB"/>
    <w:rsid w:val="00EF7EBA"/>
    <w:rsid w:val="00F152E2"/>
    <w:rsid w:val="00F16456"/>
    <w:rsid w:val="00F30F1B"/>
    <w:rsid w:val="00F4022D"/>
    <w:rsid w:val="00F44C8E"/>
    <w:rsid w:val="00F44DE8"/>
    <w:rsid w:val="00F475EE"/>
    <w:rsid w:val="00F50CAC"/>
    <w:rsid w:val="00F60BBD"/>
    <w:rsid w:val="00F72F70"/>
    <w:rsid w:val="00F81696"/>
    <w:rsid w:val="00F825EC"/>
    <w:rsid w:val="00F82E76"/>
    <w:rsid w:val="00F83B67"/>
    <w:rsid w:val="00F8763D"/>
    <w:rsid w:val="00F95E46"/>
    <w:rsid w:val="00FB47F5"/>
    <w:rsid w:val="00FB76BC"/>
    <w:rsid w:val="00FC2E3B"/>
    <w:rsid w:val="00FC40F5"/>
    <w:rsid w:val="00FC499A"/>
    <w:rsid w:val="00FC6569"/>
    <w:rsid w:val="00FC7C55"/>
    <w:rsid w:val="00FC7DB9"/>
    <w:rsid w:val="00FD14A7"/>
    <w:rsid w:val="00FD6305"/>
    <w:rsid w:val="00FE06AA"/>
    <w:rsid w:val="00FE2A31"/>
    <w:rsid w:val="00FE4C2F"/>
    <w:rsid w:val="00FE5263"/>
    <w:rsid w:val="00FF2C30"/>
    <w:rsid w:val="00FF357B"/>
    <w:rsid w:val="00FF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BB7463"/>
    <w:pPr>
      <w:ind w:left="720"/>
      <w:contextualSpacing/>
    </w:pPr>
  </w:style>
  <w:style w:type="character" w:styleId="Hyperlink">
    <w:name w:val="Hyperlink"/>
    <w:basedOn w:val="DefaultParagraphFont"/>
    <w:uiPriority w:val="99"/>
    <w:unhideWhenUsed/>
    <w:rsid w:val="00EE1E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BB7463"/>
    <w:pPr>
      <w:ind w:left="720"/>
      <w:contextualSpacing/>
    </w:pPr>
  </w:style>
  <w:style w:type="character" w:styleId="Hyperlink">
    <w:name w:val="Hyperlink"/>
    <w:basedOn w:val="DefaultParagraphFont"/>
    <w:uiPriority w:val="99"/>
    <w:unhideWhenUsed/>
    <w:rsid w:val="00EE1E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0955527">
      <w:bodyDiv w:val="1"/>
      <w:marLeft w:val="0"/>
      <w:marRight w:val="0"/>
      <w:marTop w:val="0"/>
      <w:marBottom w:val="0"/>
      <w:divBdr>
        <w:top w:val="none" w:sz="0" w:space="0" w:color="auto"/>
        <w:left w:val="none" w:sz="0" w:space="0" w:color="auto"/>
        <w:bottom w:val="none" w:sz="0" w:space="0" w:color="auto"/>
        <w:right w:val="none" w:sz="0" w:space="0" w:color="auto"/>
      </w:divBdr>
    </w:div>
    <w:div w:id="536237203">
      <w:bodyDiv w:val="1"/>
      <w:marLeft w:val="0"/>
      <w:marRight w:val="0"/>
      <w:marTop w:val="0"/>
      <w:marBottom w:val="0"/>
      <w:divBdr>
        <w:top w:val="none" w:sz="0" w:space="0" w:color="auto"/>
        <w:left w:val="none" w:sz="0" w:space="0" w:color="auto"/>
        <w:bottom w:val="none" w:sz="0" w:space="0" w:color="auto"/>
        <w:right w:val="none" w:sz="0" w:space="0" w:color="auto"/>
      </w:divBdr>
    </w:div>
    <w:div w:id="15514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82296E2C214DD9BCFA8340DB931DA0"/>
        <w:category>
          <w:name w:val="General"/>
          <w:gallery w:val="placeholder"/>
        </w:category>
        <w:types>
          <w:type w:val="bbPlcHdr"/>
        </w:types>
        <w:behaviors>
          <w:behavior w:val="content"/>
        </w:behaviors>
        <w:guid w:val="{AFE526B6-3238-4117-9917-CB76C016D6A8}"/>
      </w:docPartPr>
      <w:docPartBody>
        <w:p w:rsidR="008405B9" w:rsidRDefault="007676AE" w:rsidP="007676AE">
          <w:pPr>
            <w:pStyle w:val="2982296E2C214DD9BCFA8340DB931DA0"/>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395025"/>
    <w:rsid w:val="00055437"/>
    <w:rsid w:val="00057F16"/>
    <w:rsid w:val="00073ECE"/>
    <w:rsid w:val="0016237E"/>
    <w:rsid w:val="001704D1"/>
    <w:rsid w:val="00177FED"/>
    <w:rsid w:val="001B6DB4"/>
    <w:rsid w:val="001D7AA8"/>
    <w:rsid w:val="001F115C"/>
    <w:rsid w:val="00205441"/>
    <w:rsid w:val="002E7228"/>
    <w:rsid w:val="002F7334"/>
    <w:rsid w:val="003468F5"/>
    <w:rsid w:val="00375AD3"/>
    <w:rsid w:val="00395025"/>
    <w:rsid w:val="00434652"/>
    <w:rsid w:val="004634A5"/>
    <w:rsid w:val="004C44F2"/>
    <w:rsid w:val="0057323E"/>
    <w:rsid w:val="00575102"/>
    <w:rsid w:val="005E3E2A"/>
    <w:rsid w:val="006955D2"/>
    <w:rsid w:val="006965F3"/>
    <w:rsid w:val="006C5A80"/>
    <w:rsid w:val="006C5D64"/>
    <w:rsid w:val="007638A2"/>
    <w:rsid w:val="007676AE"/>
    <w:rsid w:val="007B4E85"/>
    <w:rsid w:val="007B7FD3"/>
    <w:rsid w:val="007D40AA"/>
    <w:rsid w:val="008405B9"/>
    <w:rsid w:val="00840B53"/>
    <w:rsid w:val="00844B56"/>
    <w:rsid w:val="008617D7"/>
    <w:rsid w:val="00864C88"/>
    <w:rsid w:val="008C598E"/>
    <w:rsid w:val="00976898"/>
    <w:rsid w:val="009B1129"/>
    <w:rsid w:val="009F2D8E"/>
    <w:rsid w:val="00A350B7"/>
    <w:rsid w:val="00A72438"/>
    <w:rsid w:val="00BC6E20"/>
    <w:rsid w:val="00C96517"/>
    <w:rsid w:val="00CA5B25"/>
    <w:rsid w:val="00CB7C3E"/>
    <w:rsid w:val="00D205BB"/>
    <w:rsid w:val="00DA7FAF"/>
    <w:rsid w:val="00DE19D2"/>
    <w:rsid w:val="00F07C77"/>
    <w:rsid w:val="00F237AD"/>
    <w:rsid w:val="00F57FBF"/>
    <w:rsid w:val="00F603CE"/>
    <w:rsid w:val="00F72FF6"/>
    <w:rsid w:val="00FE6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C028B1B83474696437AE542503D63">
    <w:name w:val="569C028B1B83474696437AE542503D63"/>
    <w:rsid w:val="00395025"/>
  </w:style>
  <w:style w:type="paragraph" w:customStyle="1" w:styleId="53DF16D4FE4F45918588988F123EF5B0">
    <w:name w:val="53DF16D4FE4F45918588988F123EF5B0"/>
    <w:rsid w:val="00395025"/>
  </w:style>
  <w:style w:type="paragraph" w:customStyle="1" w:styleId="2982296E2C214DD9BCFA8340DB931DA0">
    <w:name w:val="2982296E2C214DD9BCFA8340DB931DA0"/>
    <w:rsid w:val="007676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F8099E-84F5-4A94-B641-5D8C3938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Institutional Strategic Master Plan 2014-2020               Goal#1 ~ Retention and Completion</vt:lpstr>
    </vt:vector>
  </TitlesOfParts>
  <Company>Guam Community College</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Strategic Master Plan 2014-2020               Goal#1 ~ Retention and Completion</dc:title>
  <dc:creator>Doris</dc:creator>
  <cp:lastModifiedBy>Assessment</cp:lastModifiedBy>
  <cp:revision>3</cp:revision>
  <cp:lastPrinted>2012-11-14T08:10:00Z</cp:lastPrinted>
  <dcterms:created xsi:type="dcterms:W3CDTF">2014-11-06T12:20:00Z</dcterms:created>
  <dcterms:modified xsi:type="dcterms:W3CDTF">2014-11-07T02:54:00Z</dcterms:modified>
</cp:coreProperties>
</file>