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00" w:type="dxa"/>
        <w:jc w:val="center"/>
        <w:tblBorders>
          <w:top w:val="none" w:sz="0" w:space="0" w:color="auto"/>
          <w:left w:val="none" w:sz="0" w:space="0" w:color="auto"/>
          <w:right w:val="none" w:sz="0" w:space="0" w:color="auto"/>
        </w:tblBorders>
        <w:tblCellMar>
          <w:left w:w="115" w:type="dxa"/>
          <w:right w:w="115" w:type="dxa"/>
        </w:tblCellMar>
        <w:tblLook w:val="04A0"/>
      </w:tblPr>
      <w:tblGrid>
        <w:gridCol w:w="3253"/>
        <w:gridCol w:w="7547"/>
      </w:tblGrid>
      <w:tr w:rsidR="00AA62B5" w:rsidRPr="000B19E1" w:rsidTr="00B31DF3">
        <w:trPr>
          <w:trHeight w:val="1080"/>
          <w:tblHeader/>
          <w:jc w:val="center"/>
        </w:trPr>
        <w:tc>
          <w:tcPr>
            <w:tcW w:w="3253" w:type="dxa"/>
            <w:tcBorders>
              <w:top w:val="double" w:sz="4" w:space="0" w:color="auto"/>
              <w:bottom w:val="single" w:sz="2" w:space="0" w:color="auto"/>
              <w:right w:val="single" w:sz="6" w:space="0" w:color="auto"/>
            </w:tcBorders>
            <w:shd w:val="clear" w:color="auto" w:fill="DBE5F1" w:themeFill="accent1" w:themeFillTint="33"/>
            <w:vAlign w:val="center"/>
          </w:tcPr>
          <w:p w:rsidR="00C11EF3" w:rsidRPr="00FC7DB9" w:rsidRDefault="004A74B6" w:rsidP="004A74B6">
            <w:pPr>
              <w:jc w:val="center"/>
              <w:rPr>
                <w:b/>
                <w:spacing w:val="100"/>
                <w:sz w:val="24"/>
                <w:szCs w:val="24"/>
              </w:rPr>
            </w:pPr>
            <w:r>
              <w:rPr>
                <w:b/>
                <w:spacing w:val="100"/>
                <w:sz w:val="24"/>
                <w:szCs w:val="24"/>
              </w:rPr>
              <w:t>Physical Master Plan</w:t>
            </w:r>
          </w:p>
        </w:tc>
        <w:tc>
          <w:tcPr>
            <w:tcW w:w="7547" w:type="dxa"/>
            <w:tcBorders>
              <w:top w:val="double" w:sz="4" w:space="0" w:color="auto"/>
              <w:left w:val="single" w:sz="6" w:space="0" w:color="auto"/>
              <w:bottom w:val="single" w:sz="2" w:space="0" w:color="auto"/>
            </w:tcBorders>
            <w:shd w:val="clear" w:color="auto" w:fill="DBE5F1" w:themeFill="accent1" w:themeFillTint="33"/>
            <w:vAlign w:val="center"/>
          </w:tcPr>
          <w:p w:rsidR="00E20574" w:rsidRPr="00722BDF" w:rsidRDefault="007B1F6E" w:rsidP="006D7CEB">
            <w:pPr>
              <w:ind w:right="-115"/>
              <w:rPr>
                <w:caps/>
                <w:sz w:val="24"/>
                <w:szCs w:val="24"/>
              </w:rPr>
            </w:pPr>
            <w:r>
              <w:rPr>
                <w:caps/>
                <w:sz w:val="24"/>
                <w:szCs w:val="24"/>
              </w:rPr>
              <w:t>enh</w:t>
            </w:r>
            <w:r w:rsidR="0027408A">
              <w:rPr>
                <w:caps/>
                <w:sz w:val="24"/>
                <w:szCs w:val="24"/>
              </w:rPr>
              <w:t>A</w:t>
            </w:r>
            <w:r w:rsidR="00613339">
              <w:rPr>
                <w:caps/>
                <w:sz w:val="24"/>
                <w:szCs w:val="24"/>
              </w:rPr>
              <w:t>nc</w:t>
            </w:r>
            <w:r>
              <w:rPr>
                <w:caps/>
                <w:sz w:val="24"/>
                <w:szCs w:val="24"/>
              </w:rPr>
              <w:t>e and monitor the College’s facilities master plan to keep pace with institutional growth and educational projections and priorities</w:t>
            </w:r>
            <w:r w:rsidR="005B4EAB">
              <w:rPr>
                <w:caps/>
                <w:sz w:val="24"/>
                <w:szCs w:val="24"/>
              </w:rPr>
              <w:t>.</w:t>
            </w:r>
            <w:bookmarkStart w:id="0" w:name="_GoBack"/>
            <w:bookmarkEnd w:id="0"/>
          </w:p>
        </w:tc>
      </w:tr>
      <w:tr w:rsidR="00AA62B5" w:rsidRPr="000B19E1" w:rsidTr="00B70B62">
        <w:trPr>
          <w:trHeight w:val="360"/>
          <w:jc w:val="center"/>
        </w:trPr>
        <w:tc>
          <w:tcPr>
            <w:tcW w:w="3253" w:type="dxa"/>
            <w:tcBorders>
              <w:top w:val="single" w:sz="2" w:space="0" w:color="auto"/>
              <w:bottom w:val="dotted" w:sz="4" w:space="0" w:color="auto"/>
              <w:right w:val="single" w:sz="6" w:space="0" w:color="auto"/>
            </w:tcBorders>
            <w:vAlign w:val="center"/>
          </w:tcPr>
          <w:p w:rsidR="000B19E1" w:rsidRPr="00BB7463" w:rsidRDefault="000B19E1" w:rsidP="00BB7463">
            <w:pPr>
              <w:pStyle w:val="ListParagraph"/>
              <w:numPr>
                <w:ilvl w:val="0"/>
                <w:numId w:val="1"/>
              </w:numPr>
              <w:ind w:left="335" w:hanging="335"/>
              <w:rPr>
                <w:b/>
                <w:smallCaps/>
                <w:spacing w:val="20"/>
                <w:sz w:val="26"/>
                <w:szCs w:val="26"/>
              </w:rPr>
            </w:pPr>
            <w:r w:rsidRPr="00BB7463">
              <w:rPr>
                <w:b/>
                <w:smallCaps/>
                <w:spacing w:val="20"/>
                <w:sz w:val="26"/>
                <w:szCs w:val="26"/>
              </w:rPr>
              <w:t>S</w:t>
            </w:r>
            <w:r w:rsidR="00FC7DB9" w:rsidRPr="00BB7463">
              <w:rPr>
                <w:b/>
                <w:smallCaps/>
                <w:spacing w:val="20"/>
                <w:sz w:val="26"/>
                <w:szCs w:val="26"/>
              </w:rPr>
              <w:t>pecific   Activities to Address Task</w:t>
            </w:r>
          </w:p>
        </w:tc>
        <w:tc>
          <w:tcPr>
            <w:tcW w:w="7547" w:type="dxa"/>
            <w:tcBorders>
              <w:top w:val="single" w:sz="2" w:space="0" w:color="auto"/>
              <w:left w:val="single" w:sz="6" w:space="0" w:color="auto"/>
              <w:bottom w:val="dotted" w:sz="4" w:space="0" w:color="auto"/>
            </w:tcBorders>
            <w:vAlign w:val="center"/>
          </w:tcPr>
          <w:p w:rsidR="000B19E1" w:rsidRPr="00AA1FDD" w:rsidRDefault="009946D6" w:rsidP="009946D6">
            <w:pPr>
              <w:ind w:right="-115"/>
              <w:rPr>
                <w:rFonts w:cs="Times New Roman"/>
              </w:rPr>
            </w:pPr>
            <w:r>
              <w:rPr>
                <w:rFonts w:cs="Times New Roman"/>
              </w:rPr>
              <w:t>Update t</w:t>
            </w:r>
            <w:r w:rsidR="00D46BCA">
              <w:rPr>
                <w:rFonts w:cs="Times New Roman"/>
              </w:rPr>
              <w:t>he Facilities Master Plan</w:t>
            </w:r>
            <w:r>
              <w:rPr>
                <w:rFonts w:cs="Times New Roman"/>
              </w:rPr>
              <w:t>,</w:t>
            </w:r>
            <w:r w:rsidR="00D46BCA">
              <w:rPr>
                <w:rFonts w:cs="Times New Roman"/>
              </w:rPr>
              <w:t xml:space="preserve"> a component of the ISMP that is up for an update in 2015. Assessment data informs the decisions and planning incorporated into the document updates. </w:t>
            </w:r>
          </w:p>
        </w:tc>
      </w:tr>
      <w:tr w:rsidR="00AA62B5" w:rsidRPr="000B19E1" w:rsidTr="00B70B62">
        <w:trPr>
          <w:trHeight w:val="360"/>
          <w:jc w:val="center"/>
        </w:trPr>
        <w:tc>
          <w:tcPr>
            <w:tcW w:w="3253" w:type="dxa"/>
            <w:tcBorders>
              <w:top w:val="dotted" w:sz="4" w:space="0" w:color="auto"/>
              <w:bottom w:val="dotted" w:sz="4" w:space="0" w:color="auto"/>
              <w:right w:val="single" w:sz="6" w:space="0" w:color="auto"/>
            </w:tcBorders>
            <w:vAlign w:val="center"/>
          </w:tcPr>
          <w:p w:rsidR="00E93C09" w:rsidRDefault="00B90C91" w:rsidP="00FC7DB9">
            <w:pPr>
              <w:jc w:val="right"/>
              <w:rPr>
                <w:smallCaps/>
                <w:spacing w:val="20"/>
              </w:rPr>
            </w:pPr>
            <w:r w:rsidRPr="001D23CF">
              <w:rPr>
                <w:smallCaps/>
                <w:spacing w:val="20"/>
              </w:rPr>
              <w:t>Person</w:t>
            </w:r>
            <w:r w:rsidR="00E93C09">
              <w:rPr>
                <w:smallCaps/>
                <w:spacing w:val="20"/>
              </w:rPr>
              <w:t>/Committee</w:t>
            </w:r>
          </w:p>
          <w:p w:rsidR="00B90C91" w:rsidRPr="001D23CF" w:rsidRDefault="00B90C91" w:rsidP="00FC7DB9">
            <w:pPr>
              <w:jc w:val="right"/>
              <w:rPr>
                <w:smallCaps/>
                <w:spacing w:val="20"/>
              </w:rPr>
            </w:pPr>
            <w:r w:rsidRPr="001D23CF">
              <w:rPr>
                <w:smallCaps/>
                <w:spacing w:val="20"/>
              </w:rPr>
              <w:t>Responsible</w:t>
            </w:r>
          </w:p>
        </w:tc>
        <w:tc>
          <w:tcPr>
            <w:tcW w:w="7547" w:type="dxa"/>
            <w:tcBorders>
              <w:top w:val="dotted" w:sz="4" w:space="0" w:color="auto"/>
              <w:left w:val="single" w:sz="6" w:space="0" w:color="auto"/>
              <w:bottom w:val="dotted" w:sz="4" w:space="0" w:color="auto"/>
            </w:tcBorders>
            <w:vAlign w:val="center"/>
          </w:tcPr>
          <w:p w:rsidR="004E2BAA" w:rsidRPr="00E62F16" w:rsidRDefault="0027408A" w:rsidP="006D7CEB">
            <w:pPr>
              <w:ind w:right="-115"/>
              <w:rPr>
                <w:rFonts w:ascii="Calibri" w:hAnsi="Calibri"/>
              </w:rPr>
            </w:pPr>
            <w:r>
              <w:rPr>
                <w:rFonts w:ascii="Calibri" w:hAnsi="Calibri"/>
              </w:rPr>
              <w:t>RPF</w:t>
            </w:r>
          </w:p>
        </w:tc>
      </w:tr>
      <w:tr w:rsidR="00AA62B5" w:rsidRPr="000B19E1" w:rsidTr="00B70B62">
        <w:trPr>
          <w:trHeight w:val="360"/>
          <w:jc w:val="center"/>
        </w:trPr>
        <w:tc>
          <w:tcPr>
            <w:tcW w:w="3253" w:type="dxa"/>
            <w:tcBorders>
              <w:top w:val="dotted" w:sz="4" w:space="0" w:color="auto"/>
              <w:bottom w:val="dotted" w:sz="4"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Timeline</w:t>
            </w:r>
          </w:p>
        </w:tc>
        <w:tc>
          <w:tcPr>
            <w:tcW w:w="7547" w:type="dxa"/>
            <w:tcBorders>
              <w:top w:val="dotted" w:sz="4" w:space="0" w:color="auto"/>
              <w:left w:val="single" w:sz="6" w:space="0" w:color="auto"/>
              <w:bottom w:val="dotted" w:sz="4" w:space="0" w:color="auto"/>
            </w:tcBorders>
            <w:vAlign w:val="center"/>
          </w:tcPr>
          <w:p w:rsidR="00B90C91" w:rsidRPr="001D23CF" w:rsidRDefault="0027408A" w:rsidP="006D7CEB">
            <w:pPr>
              <w:ind w:right="-115"/>
              <w:rPr>
                <w:rFonts w:ascii="Calibri" w:hAnsi="Calibri"/>
                <w:color w:val="000000"/>
              </w:rPr>
            </w:pPr>
            <w:r>
              <w:rPr>
                <w:rFonts w:ascii="Calibri" w:hAnsi="Calibri"/>
                <w:color w:val="000000"/>
              </w:rPr>
              <w:t>2015</w:t>
            </w:r>
          </w:p>
        </w:tc>
      </w:tr>
      <w:tr w:rsidR="00AA62B5" w:rsidRPr="000B19E1" w:rsidTr="00B70B62">
        <w:trPr>
          <w:trHeight w:val="360"/>
          <w:jc w:val="center"/>
        </w:trPr>
        <w:tc>
          <w:tcPr>
            <w:tcW w:w="3253" w:type="dxa"/>
            <w:tcBorders>
              <w:top w:val="dotted" w:sz="4" w:space="0" w:color="auto"/>
              <w:bottom w:val="dotted" w:sz="4"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Status</w:t>
            </w:r>
          </w:p>
        </w:tc>
        <w:tc>
          <w:tcPr>
            <w:tcW w:w="7547" w:type="dxa"/>
            <w:tcBorders>
              <w:top w:val="dotted" w:sz="4" w:space="0" w:color="auto"/>
              <w:left w:val="single" w:sz="6" w:space="0" w:color="auto"/>
              <w:bottom w:val="dotted" w:sz="4" w:space="0" w:color="auto"/>
            </w:tcBorders>
            <w:vAlign w:val="center"/>
          </w:tcPr>
          <w:p w:rsidR="00B90C91" w:rsidRPr="001D23CF" w:rsidRDefault="0027408A" w:rsidP="006D7CEB">
            <w:pPr>
              <w:ind w:right="-115"/>
              <w:rPr>
                <w:rFonts w:ascii="Calibri" w:hAnsi="Calibri"/>
                <w:color w:val="000000"/>
              </w:rPr>
            </w:pPr>
            <w:r>
              <w:rPr>
                <w:rFonts w:ascii="Calibri" w:hAnsi="Calibri"/>
                <w:color w:val="000000"/>
              </w:rPr>
              <w:t>Ongoing</w:t>
            </w:r>
          </w:p>
        </w:tc>
      </w:tr>
      <w:tr w:rsidR="00AA62B5" w:rsidRPr="000B19E1" w:rsidTr="00B70B62">
        <w:trPr>
          <w:trHeight w:val="360"/>
          <w:jc w:val="center"/>
        </w:trPr>
        <w:tc>
          <w:tcPr>
            <w:tcW w:w="3253" w:type="dxa"/>
            <w:tcBorders>
              <w:top w:val="dotted" w:sz="4" w:space="0" w:color="auto"/>
              <w:bottom w:val="dotted" w:sz="4"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Performance Measure</w:t>
            </w:r>
          </w:p>
        </w:tc>
        <w:tc>
          <w:tcPr>
            <w:tcW w:w="7547" w:type="dxa"/>
            <w:tcBorders>
              <w:top w:val="dotted" w:sz="4" w:space="0" w:color="auto"/>
              <w:left w:val="single" w:sz="6" w:space="0" w:color="auto"/>
              <w:bottom w:val="dotted" w:sz="4" w:space="0" w:color="auto"/>
            </w:tcBorders>
            <w:vAlign w:val="center"/>
          </w:tcPr>
          <w:p w:rsidR="00B90C91" w:rsidRPr="001D23CF" w:rsidRDefault="00D46BCA" w:rsidP="0023323E">
            <w:pPr>
              <w:ind w:right="-115"/>
              <w:rPr>
                <w:rFonts w:ascii="Calibri" w:hAnsi="Calibri"/>
                <w:color w:val="000000"/>
              </w:rPr>
            </w:pPr>
            <w:r>
              <w:rPr>
                <w:rFonts w:ascii="Calibri" w:hAnsi="Calibri"/>
                <w:color w:val="000000"/>
              </w:rPr>
              <w:t>The Vice President for Finance and Administration and the Assistant Director for AIER have updated the budget training and requirements and the TracDat assessment management system configuration to align budget goals, performance indicators and performance outcomes with assessment unit student learning outcomes, means of assessment, and assessment report/results and implementation.</w:t>
            </w:r>
          </w:p>
        </w:tc>
      </w:tr>
      <w:tr w:rsidR="00AA62B5" w:rsidRPr="000B19E1" w:rsidTr="00B70B62">
        <w:trPr>
          <w:trHeight w:val="360"/>
          <w:jc w:val="center"/>
        </w:trPr>
        <w:tc>
          <w:tcPr>
            <w:tcW w:w="3253" w:type="dxa"/>
            <w:tcBorders>
              <w:top w:val="dotted" w:sz="4" w:space="0" w:color="auto"/>
              <w:bottom w:val="dotted" w:sz="4"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Percent Completed</w:t>
            </w:r>
          </w:p>
        </w:tc>
        <w:tc>
          <w:tcPr>
            <w:tcW w:w="7547" w:type="dxa"/>
            <w:tcBorders>
              <w:top w:val="dotted" w:sz="4" w:space="0" w:color="auto"/>
              <w:left w:val="single" w:sz="6" w:space="0" w:color="auto"/>
              <w:bottom w:val="dotted" w:sz="4" w:space="0" w:color="auto"/>
            </w:tcBorders>
            <w:vAlign w:val="center"/>
          </w:tcPr>
          <w:p w:rsidR="00B90C91" w:rsidRPr="001D23CF" w:rsidRDefault="00D46BCA" w:rsidP="006D7CEB">
            <w:pPr>
              <w:ind w:right="-115"/>
              <w:rPr>
                <w:rFonts w:ascii="Calibri" w:hAnsi="Calibri"/>
                <w:color w:val="000000"/>
              </w:rPr>
            </w:pPr>
            <w:r>
              <w:rPr>
                <w:rFonts w:ascii="Calibri" w:hAnsi="Calibri"/>
                <w:color w:val="000000"/>
              </w:rPr>
              <w:t>20%</w:t>
            </w:r>
          </w:p>
        </w:tc>
      </w:tr>
      <w:tr w:rsidR="00AA62B5" w:rsidRPr="000B19E1" w:rsidTr="00B70B62">
        <w:trPr>
          <w:trHeight w:val="360"/>
          <w:jc w:val="center"/>
        </w:trPr>
        <w:tc>
          <w:tcPr>
            <w:tcW w:w="3253" w:type="dxa"/>
            <w:tcBorders>
              <w:top w:val="dotted" w:sz="4" w:space="0" w:color="auto"/>
              <w:bottom w:val="dotted" w:sz="4"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Next Steps</w:t>
            </w:r>
          </w:p>
        </w:tc>
        <w:tc>
          <w:tcPr>
            <w:tcW w:w="7547" w:type="dxa"/>
            <w:tcBorders>
              <w:top w:val="dotted" w:sz="4" w:space="0" w:color="auto"/>
              <w:left w:val="single" w:sz="6" w:space="0" w:color="auto"/>
              <w:bottom w:val="dotted" w:sz="4" w:space="0" w:color="auto"/>
            </w:tcBorders>
            <w:vAlign w:val="center"/>
          </w:tcPr>
          <w:p w:rsidR="00B90C91" w:rsidRPr="001D23CF" w:rsidRDefault="00D46BCA" w:rsidP="0023323E">
            <w:pPr>
              <w:ind w:right="-115"/>
              <w:rPr>
                <w:rFonts w:ascii="Calibri" w:hAnsi="Calibri"/>
                <w:color w:val="000000"/>
              </w:rPr>
            </w:pPr>
            <w:r>
              <w:rPr>
                <w:rFonts w:ascii="Calibri" w:hAnsi="Calibri"/>
                <w:color w:val="000000"/>
              </w:rPr>
              <w:t>Extract of data to support the Facilities Master Plan and its updates.</w:t>
            </w:r>
          </w:p>
        </w:tc>
      </w:tr>
      <w:tr w:rsidR="00AA62B5" w:rsidRPr="000B19E1" w:rsidTr="00B70B62">
        <w:trPr>
          <w:trHeight w:val="360"/>
          <w:jc w:val="center"/>
        </w:trPr>
        <w:tc>
          <w:tcPr>
            <w:tcW w:w="3253" w:type="dxa"/>
            <w:tcBorders>
              <w:top w:val="dotted" w:sz="4" w:space="0" w:color="auto"/>
              <w:bottom w:val="doub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Comments</w:t>
            </w:r>
          </w:p>
        </w:tc>
        <w:tc>
          <w:tcPr>
            <w:tcW w:w="7547" w:type="dxa"/>
            <w:tcBorders>
              <w:top w:val="dotted" w:sz="4" w:space="0" w:color="auto"/>
              <w:left w:val="single" w:sz="6" w:space="0" w:color="auto"/>
              <w:bottom w:val="double" w:sz="2" w:space="0" w:color="auto"/>
            </w:tcBorders>
            <w:vAlign w:val="center"/>
          </w:tcPr>
          <w:p w:rsidR="00B90C91" w:rsidRPr="001D23CF" w:rsidRDefault="00AE158F" w:rsidP="00D93D28">
            <w:pPr>
              <w:ind w:right="-115"/>
              <w:rPr>
                <w:rFonts w:ascii="Calibri" w:hAnsi="Calibri"/>
                <w:color w:val="000000"/>
              </w:rPr>
            </w:pPr>
            <w:r>
              <w:rPr>
                <w:rFonts w:ascii="Calibri" w:hAnsi="Calibri"/>
                <w:color w:val="000000"/>
              </w:rPr>
              <w:t>The upgrades that have been made to the campus, from the solar parking lights to the new buildings that have been constructed, reflect the results of the collaboration and data-driven plans that went into the last Facilities Master Plan.</w:t>
            </w:r>
          </w:p>
        </w:tc>
      </w:tr>
    </w:tbl>
    <w:p w:rsidR="00B70B62" w:rsidRDefault="00B70B62" w:rsidP="006D7CEB">
      <w:pPr>
        <w:spacing w:after="0"/>
      </w:pPr>
    </w:p>
    <w:tbl>
      <w:tblPr>
        <w:tblStyle w:val="TableGrid"/>
        <w:tblW w:w="10800" w:type="dxa"/>
        <w:jc w:val="center"/>
        <w:tblBorders>
          <w:top w:val="double" w:sz="2" w:space="0" w:color="auto"/>
          <w:left w:val="none" w:sz="0" w:space="0" w:color="auto"/>
          <w:bottom w:val="double" w:sz="4" w:space="0" w:color="auto"/>
          <w:right w:val="none" w:sz="0" w:space="0" w:color="auto"/>
          <w:insideH w:val="dotted" w:sz="4" w:space="0" w:color="auto"/>
          <w:insideV w:val="single" w:sz="6" w:space="0" w:color="auto"/>
        </w:tblBorders>
        <w:tblCellMar>
          <w:left w:w="115" w:type="dxa"/>
          <w:right w:w="115" w:type="dxa"/>
        </w:tblCellMar>
        <w:tblLook w:val="04A0"/>
      </w:tblPr>
      <w:tblGrid>
        <w:gridCol w:w="3253"/>
        <w:gridCol w:w="7547"/>
      </w:tblGrid>
      <w:tr w:rsidR="00B70B62" w:rsidRPr="001D23CF" w:rsidTr="00B70B62">
        <w:trPr>
          <w:trHeight w:val="360"/>
          <w:jc w:val="center"/>
        </w:trPr>
        <w:tc>
          <w:tcPr>
            <w:tcW w:w="3253" w:type="dxa"/>
            <w:vAlign w:val="center"/>
          </w:tcPr>
          <w:p w:rsidR="00B70B62" w:rsidRPr="00BB7463" w:rsidRDefault="00B70B62" w:rsidP="003E0E7F">
            <w:pPr>
              <w:pStyle w:val="ListParagraph"/>
              <w:numPr>
                <w:ilvl w:val="0"/>
                <w:numId w:val="1"/>
              </w:numPr>
              <w:ind w:left="335" w:hanging="335"/>
              <w:rPr>
                <w:b/>
                <w:smallCaps/>
                <w:spacing w:val="20"/>
                <w:sz w:val="26"/>
                <w:szCs w:val="26"/>
              </w:rPr>
            </w:pPr>
            <w:r w:rsidRPr="00BB7463">
              <w:rPr>
                <w:b/>
                <w:smallCaps/>
                <w:spacing w:val="20"/>
                <w:sz w:val="26"/>
                <w:szCs w:val="26"/>
              </w:rPr>
              <w:t>Specific   Activities to Address Task</w:t>
            </w:r>
          </w:p>
        </w:tc>
        <w:tc>
          <w:tcPr>
            <w:tcW w:w="7547" w:type="dxa"/>
            <w:vAlign w:val="center"/>
          </w:tcPr>
          <w:p w:rsidR="00B70B62" w:rsidRPr="001D23CF" w:rsidRDefault="006C0DC1" w:rsidP="006C0DC1">
            <w:pPr>
              <w:ind w:right="-115"/>
            </w:pPr>
            <w:r>
              <w:t>Administer t</w:t>
            </w:r>
            <w:r w:rsidR="00BD2856">
              <w:t>he Community College Survey of Student Engagement (CCSSE)</w:t>
            </w:r>
            <w:r>
              <w:t>,</w:t>
            </w:r>
            <w:r w:rsidR="00BD2856">
              <w:t xml:space="preserve"> an assessment tool that provides information on student engagement, a key indicator of learning and, therefore, of the quality of community college. </w:t>
            </w:r>
          </w:p>
        </w:tc>
      </w:tr>
      <w:tr w:rsidR="00B70B62" w:rsidRPr="001D23CF" w:rsidTr="00B70B62">
        <w:trPr>
          <w:trHeight w:val="360"/>
          <w:jc w:val="center"/>
        </w:trPr>
        <w:tc>
          <w:tcPr>
            <w:tcW w:w="3253" w:type="dxa"/>
            <w:vAlign w:val="center"/>
          </w:tcPr>
          <w:p w:rsidR="00B70B62" w:rsidRPr="001D23CF" w:rsidRDefault="00B70B62" w:rsidP="003E0E7F">
            <w:pPr>
              <w:jc w:val="right"/>
              <w:rPr>
                <w:smallCaps/>
                <w:spacing w:val="20"/>
              </w:rPr>
            </w:pPr>
            <w:r w:rsidRPr="001D23CF">
              <w:rPr>
                <w:smallCaps/>
                <w:spacing w:val="20"/>
              </w:rPr>
              <w:t>Person</w:t>
            </w:r>
            <w:r>
              <w:rPr>
                <w:smallCaps/>
                <w:spacing w:val="20"/>
              </w:rPr>
              <w:t>/Committee</w:t>
            </w:r>
            <w:r w:rsidRPr="001D23CF">
              <w:rPr>
                <w:smallCaps/>
                <w:spacing w:val="20"/>
              </w:rPr>
              <w:t xml:space="preserve"> Responsible</w:t>
            </w:r>
          </w:p>
        </w:tc>
        <w:tc>
          <w:tcPr>
            <w:tcW w:w="7547" w:type="dxa"/>
            <w:vAlign w:val="center"/>
          </w:tcPr>
          <w:p w:rsidR="00B70B62" w:rsidRPr="001D23CF" w:rsidRDefault="00E02203" w:rsidP="006D7CEB">
            <w:pPr>
              <w:ind w:right="-115"/>
              <w:rPr>
                <w:rFonts w:ascii="Calibri" w:hAnsi="Calibri"/>
                <w:color w:val="000000"/>
              </w:rPr>
            </w:pPr>
            <w:r>
              <w:rPr>
                <w:rFonts w:ascii="Calibri" w:hAnsi="Calibri"/>
                <w:color w:val="000000"/>
              </w:rPr>
              <w:t>AIER</w:t>
            </w:r>
          </w:p>
        </w:tc>
      </w:tr>
      <w:tr w:rsidR="00B70B62" w:rsidRPr="001D23CF" w:rsidTr="00B70B62">
        <w:trPr>
          <w:trHeight w:val="360"/>
          <w:jc w:val="center"/>
        </w:trPr>
        <w:tc>
          <w:tcPr>
            <w:tcW w:w="3253" w:type="dxa"/>
            <w:vAlign w:val="center"/>
          </w:tcPr>
          <w:p w:rsidR="00B70B62" w:rsidRPr="001D23CF" w:rsidRDefault="00B70B62" w:rsidP="003E0E7F">
            <w:pPr>
              <w:jc w:val="right"/>
              <w:rPr>
                <w:smallCaps/>
                <w:spacing w:val="20"/>
              </w:rPr>
            </w:pPr>
            <w:r w:rsidRPr="001D23CF">
              <w:rPr>
                <w:smallCaps/>
                <w:spacing w:val="20"/>
              </w:rPr>
              <w:t>Timeline</w:t>
            </w:r>
          </w:p>
        </w:tc>
        <w:tc>
          <w:tcPr>
            <w:tcW w:w="7547" w:type="dxa"/>
            <w:vAlign w:val="center"/>
          </w:tcPr>
          <w:p w:rsidR="00B70B62" w:rsidRPr="001D23CF" w:rsidRDefault="00E02203" w:rsidP="006D7CEB">
            <w:pPr>
              <w:ind w:right="-115"/>
              <w:rPr>
                <w:rFonts w:ascii="Calibri" w:hAnsi="Calibri"/>
                <w:color w:val="000000"/>
              </w:rPr>
            </w:pPr>
            <w:r>
              <w:rPr>
                <w:rFonts w:ascii="Calibri" w:hAnsi="Calibri"/>
                <w:color w:val="000000"/>
              </w:rPr>
              <w:t>Annually</w:t>
            </w:r>
          </w:p>
        </w:tc>
      </w:tr>
      <w:tr w:rsidR="00B70B62" w:rsidRPr="001D23CF" w:rsidTr="00B70B62">
        <w:trPr>
          <w:trHeight w:val="360"/>
          <w:jc w:val="center"/>
        </w:trPr>
        <w:tc>
          <w:tcPr>
            <w:tcW w:w="3253" w:type="dxa"/>
            <w:vAlign w:val="center"/>
          </w:tcPr>
          <w:p w:rsidR="00B70B62" w:rsidRPr="001D23CF" w:rsidRDefault="00B70B62" w:rsidP="003E0E7F">
            <w:pPr>
              <w:jc w:val="right"/>
              <w:rPr>
                <w:smallCaps/>
                <w:spacing w:val="20"/>
              </w:rPr>
            </w:pPr>
            <w:r w:rsidRPr="001D23CF">
              <w:rPr>
                <w:smallCaps/>
                <w:spacing w:val="20"/>
              </w:rPr>
              <w:t>Status</w:t>
            </w:r>
          </w:p>
        </w:tc>
        <w:tc>
          <w:tcPr>
            <w:tcW w:w="7547" w:type="dxa"/>
            <w:vAlign w:val="center"/>
          </w:tcPr>
          <w:p w:rsidR="00B70B62" w:rsidRPr="001D23CF" w:rsidRDefault="00BD2856" w:rsidP="006D7CEB">
            <w:pPr>
              <w:ind w:right="-115"/>
              <w:rPr>
                <w:rFonts w:ascii="Calibri" w:hAnsi="Calibri"/>
                <w:color w:val="000000"/>
              </w:rPr>
            </w:pPr>
            <w:r>
              <w:rPr>
                <w:rFonts w:ascii="Calibri" w:hAnsi="Calibri"/>
                <w:color w:val="000000"/>
              </w:rPr>
              <w:t>Ongoing</w:t>
            </w:r>
          </w:p>
        </w:tc>
      </w:tr>
      <w:tr w:rsidR="00B70B62" w:rsidRPr="00010082" w:rsidTr="00B70B62">
        <w:trPr>
          <w:trHeight w:val="360"/>
          <w:jc w:val="center"/>
        </w:trPr>
        <w:tc>
          <w:tcPr>
            <w:tcW w:w="3253" w:type="dxa"/>
            <w:vAlign w:val="center"/>
          </w:tcPr>
          <w:p w:rsidR="00B70B62" w:rsidRPr="001D23CF" w:rsidRDefault="00B70B62" w:rsidP="003E0E7F">
            <w:pPr>
              <w:jc w:val="right"/>
              <w:rPr>
                <w:smallCaps/>
                <w:spacing w:val="20"/>
              </w:rPr>
            </w:pPr>
            <w:r w:rsidRPr="001D23CF">
              <w:rPr>
                <w:smallCaps/>
                <w:spacing w:val="20"/>
              </w:rPr>
              <w:t>Performance Measure</w:t>
            </w:r>
          </w:p>
        </w:tc>
        <w:tc>
          <w:tcPr>
            <w:tcW w:w="7547" w:type="dxa"/>
            <w:vAlign w:val="center"/>
          </w:tcPr>
          <w:p w:rsidR="00B70B62" w:rsidRPr="00010082" w:rsidRDefault="00E02203" w:rsidP="00484BD3">
            <w:pPr>
              <w:ind w:right="-115"/>
              <w:rPr>
                <w:rFonts w:ascii="Calibri" w:hAnsi="Calibri"/>
                <w:color w:val="000000"/>
              </w:rPr>
            </w:pPr>
            <w:r>
              <w:rPr>
                <w:rFonts w:ascii="Calibri" w:hAnsi="Calibri"/>
                <w:color w:val="000000"/>
              </w:rPr>
              <w:t>The CCSSE is scheduled to be administered in the Spring of 2015 and every spring thereafter, funding allowed. The College had administered the Faces of the Future Survey instrument in the past</w:t>
            </w:r>
            <w:r w:rsidR="00484BD3">
              <w:rPr>
                <w:rFonts w:ascii="Calibri" w:hAnsi="Calibri"/>
                <w:color w:val="000000"/>
              </w:rPr>
              <w:t>;</w:t>
            </w:r>
            <w:r>
              <w:rPr>
                <w:rFonts w:ascii="Calibri" w:hAnsi="Calibri"/>
                <w:color w:val="000000"/>
              </w:rPr>
              <w:t xml:space="preserve"> however</w:t>
            </w:r>
            <w:r w:rsidR="00484BD3">
              <w:rPr>
                <w:rFonts w:ascii="Calibri" w:hAnsi="Calibri"/>
                <w:color w:val="000000"/>
              </w:rPr>
              <w:t>,</w:t>
            </w:r>
            <w:r>
              <w:rPr>
                <w:rFonts w:ascii="Calibri" w:hAnsi="Calibri"/>
                <w:color w:val="000000"/>
              </w:rPr>
              <w:t xml:space="preserve"> ACT has discontinued its survey services. </w:t>
            </w:r>
          </w:p>
        </w:tc>
      </w:tr>
      <w:tr w:rsidR="00B70B62" w:rsidRPr="001D23CF" w:rsidTr="00B70B62">
        <w:trPr>
          <w:trHeight w:val="360"/>
          <w:jc w:val="center"/>
        </w:trPr>
        <w:tc>
          <w:tcPr>
            <w:tcW w:w="3253" w:type="dxa"/>
            <w:vAlign w:val="center"/>
          </w:tcPr>
          <w:p w:rsidR="00B70B62" w:rsidRPr="001D23CF" w:rsidRDefault="00B70B62" w:rsidP="003E0E7F">
            <w:pPr>
              <w:jc w:val="right"/>
              <w:rPr>
                <w:smallCaps/>
                <w:spacing w:val="20"/>
              </w:rPr>
            </w:pPr>
            <w:r w:rsidRPr="001D23CF">
              <w:rPr>
                <w:smallCaps/>
                <w:spacing w:val="20"/>
              </w:rPr>
              <w:t>Percent Completed</w:t>
            </w:r>
          </w:p>
        </w:tc>
        <w:tc>
          <w:tcPr>
            <w:tcW w:w="7547" w:type="dxa"/>
            <w:vAlign w:val="center"/>
          </w:tcPr>
          <w:p w:rsidR="00B70B62" w:rsidRPr="001D23CF" w:rsidRDefault="00BD2856" w:rsidP="006D7CEB">
            <w:pPr>
              <w:ind w:right="-115"/>
              <w:rPr>
                <w:rFonts w:ascii="Calibri" w:hAnsi="Calibri"/>
                <w:color w:val="000000"/>
              </w:rPr>
            </w:pPr>
            <w:r>
              <w:rPr>
                <w:rFonts w:ascii="Calibri" w:hAnsi="Calibri"/>
                <w:color w:val="000000"/>
              </w:rPr>
              <w:t>50%</w:t>
            </w:r>
          </w:p>
        </w:tc>
      </w:tr>
      <w:tr w:rsidR="00B70B62" w:rsidRPr="00010082" w:rsidTr="00B70B62">
        <w:trPr>
          <w:trHeight w:val="360"/>
          <w:jc w:val="center"/>
        </w:trPr>
        <w:tc>
          <w:tcPr>
            <w:tcW w:w="3253" w:type="dxa"/>
            <w:vAlign w:val="center"/>
          </w:tcPr>
          <w:p w:rsidR="00B70B62" w:rsidRPr="001D23CF" w:rsidRDefault="00B70B62" w:rsidP="003E0E7F">
            <w:pPr>
              <w:jc w:val="right"/>
              <w:rPr>
                <w:smallCaps/>
                <w:spacing w:val="20"/>
              </w:rPr>
            </w:pPr>
            <w:r w:rsidRPr="001D23CF">
              <w:rPr>
                <w:smallCaps/>
                <w:spacing w:val="20"/>
              </w:rPr>
              <w:t>Next Steps</w:t>
            </w:r>
          </w:p>
        </w:tc>
        <w:tc>
          <w:tcPr>
            <w:tcW w:w="7547" w:type="dxa"/>
            <w:vAlign w:val="center"/>
          </w:tcPr>
          <w:p w:rsidR="00B70B62" w:rsidRPr="00010082" w:rsidRDefault="00E02203" w:rsidP="00484BD3">
            <w:pPr>
              <w:ind w:right="-115"/>
              <w:rPr>
                <w:rFonts w:ascii="Calibri" w:hAnsi="Calibri"/>
                <w:color w:val="000000"/>
              </w:rPr>
            </w:pPr>
            <w:r>
              <w:rPr>
                <w:rFonts w:ascii="Calibri" w:hAnsi="Calibri"/>
                <w:color w:val="000000"/>
              </w:rPr>
              <w:t>50% of the AIER budget has been uploaded onto Banner</w:t>
            </w:r>
            <w:r w:rsidR="00484BD3">
              <w:rPr>
                <w:rFonts w:ascii="Calibri" w:hAnsi="Calibri"/>
                <w:color w:val="000000"/>
              </w:rPr>
              <w:t>. Process requisition.</w:t>
            </w:r>
          </w:p>
        </w:tc>
      </w:tr>
      <w:tr w:rsidR="00B70B62" w:rsidRPr="001D23CF" w:rsidTr="006C0DC1">
        <w:trPr>
          <w:trHeight w:val="422"/>
          <w:jc w:val="center"/>
        </w:trPr>
        <w:tc>
          <w:tcPr>
            <w:tcW w:w="3253" w:type="dxa"/>
            <w:tcBorders>
              <w:bottom w:val="double" w:sz="4" w:space="0" w:color="auto"/>
            </w:tcBorders>
            <w:vAlign w:val="center"/>
          </w:tcPr>
          <w:p w:rsidR="00B70B62" w:rsidRPr="001D23CF" w:rsidRDefault="00B70B62" w:rsidP="003E0E7F">
            <w:pPr>
              <w:jc w:val="right"/>
              <w:rPr>
                <w:smallCaps/>
                <w:spacing w:val="20"/>
              </w:rPr>
            </w:pPr>
            <w:r w:rsidRPr="001D23CF">
              <w:rPr>
                <w:smallCaps/>
                <w:spacing w:val="20"/>
              </w:rPr>
              <w:t>Comments</w:t>
            </w:r>
          </w:p>
        </w:tc>
        <w:tc>
          <w:tcPr>
            <w:tcW w:w="7547" w:type="dxa"/>
            <w:tcBorders>
              <w:bottom w:val="double" w:sz="4" w:space="0" w:color="auto"/>
            </w:tcBorders>
            <w:vAlign w:val="center"/>
          </w:tcPr>
          <w:p w:rsidR="00B70B62" w:rsidRPr="001D23CF" w:rsidRDefault="00E02203" w:rsidP="006D7CEB">
            <w:pPr>
              <w:ind w:right="-115"/>
              <w:rPr>
                <w:rFonts w:ascii="Calibri" w:hAnsi="Calibri"/>
                <w:color w:val="000000"/>
              </w:rPr>
            </w:pPr>
            <w:r>
              <w:t>The survey is comprised of items that assess institutional practices and student behaviors that are highly correlated with student learning and student retention. It is a versatile, research-based tool appropriate for multiple uses. Identifying what students do in and out of the classroom, knowing students’ goals, and understanding external responsibilities can help the college create an environment that can enhance learning, development, and success.</w:t>
            </w:r>
          </w:p>
        </w:tc>
      </w:tr>
      <w:tr w:rsidR="003607EE" w:rsidRPr="000B19E1" w:rsidTr="006C0DC1">
        <w:tblPrEx>
          <w:tblBorders>
            <w:top w:val="none" w:sz="0" w:space="0" w:color="auto"/>
            <w:bottom w:val="single" w:sz="4" w:space="0" w:color="auto"/>
            <w:insideH w:val="single" w:sz="4" w:space="0" w:color="auto"/>
            <w:insideV w:val="single" w:sz="4" w:space="0" w:color="auto"/>
          </w:tblBorders>
        </w:tblPrEx>
        <w:trPr>
          <w:trHeight w:val="1080"/>
          <w:tblHeader/>
          <w:jc w:val="center"/>
        </w:trPr>
        <w:tc>
          <w:tcPr>
            <w:tcW w:w="3253" w:type="dxa"/>
            <w:tcBorders>
              <w:top w:val="double" w:sz="4" w:space="0" w:color="auto"/>
              <w:bottom w:val="single" w:sz="2" w:space="0" w:color="auto"/>
              <w:right w:val="single" w:sz="6" w:space="0" w:color="auto"/>
            </w:tcBorders>
            <w:shd w:val="clear" w:color="auto" w:fill="DBE5F1" w:themeFill="accent1" w:themeFillTint="33"/>
            <w:vAlign w:val="center"/>
          </w:tcPr>
          <w:p w:rsidR="003607EE" w:rsidRPr="00FC7DB9" w:rsidRDefault="00563505" w:rsidP="004A74B6">
            <w:pPr>
              <w:jc w:val="center"/>
              <w:rPr>
                <w:b/>
                <w:spacing w:val="100"/>
                <w:sz w:val="24"/>
                <w:szCs w:val="24"/>
              </w:rPr>
            </w:pPr>
            <w:r>
              <w:rPr>
                <w:b/>
                <w:spacing w:val="100"/>
                <w:sz w:val="24"/>
                <w:szCs w:val="24"/>
              </w:rPr>
              <w:lastRenderedPageBreak/>
              <w:t>P</w:t>
            </w:r>
            <w:r w:rsidR="004A74B6">
              <w:rPr>
                <w:b/>
                <w:spacing w:val="100"/>
                <w:sz w:val="24"/>
                <w:szCs w:val="24"/>
              </w:rPr>
              <w:t>articipatory Governance</w:t>
            </w:r>
          </w:p>
        </w:tc>
        <w:tc>
          <w:tcPr>
            <w:tcW w:w="7547" w:type="dxa"/>
            <w:tcBorders>
              <w:top w:val="double" w:sz="4" w:space="0" w:color="auto"/>
              <w:left w:val="single" w:sz="6" w:space="0" w:color="auto"/>
              <w:bottom w:val="single" w:sz="2" w:space="0" w:color="auto"/>
            </w:tcBorders>
            <w:shd w:val="clear" w:color="auto" w:fill="DBE5F1" w:themeFill="accent1" w:themeFillTint="33"/>
            <w:vAlign w:val="center"/>
          </w:tcPr>
          <w:p w:rsidR="003607EE" w:rsidRPr="00722BDF" w:rsidRDefault="00613339" w:rsidP="004A74B6">
            <w:pPr>
              <w:rPr>
                <w:caps/>
                <w:sz w:val="24"/>
                <w:szCs w:val="24"/>
              </w:rPr>
            </w:pPr>
            <w:r>
              <w:rPr>
                <w:caps/>
                <w:sz w:val="24"/>
                <w:szCs w:val="24"/>
              </w:rPr>
              <w:t>strengthen the p</w:t>
            </w:r>
            <w:r w:rsidR="004A74B6">
              <w:rPr>
                <w:caps/>
                <w:sz w:val="24"/>
                <w:szCs w:val="24"/>
              </w:rPr>
              <w:t>articipatory governance process to ensure that all stakeholders understand their role in collaborative governance.</w:t>
            </w:r>
          </w:p>
        </w:tc>
      </w:tr>
      <w:tr w:rsidR="00C138BC" w:rsidRPr="000B19E1" w:rsidTr="00B31DF3">
        <w:tblPrEx>
          <w:tblBorders>
            <w:top w:val="none" w:sz="0" w:space="0" w:color="auto"/>
            <w:bottom w:val="single" w:sz="4" w:space="0" w:color="auto"/>
            <w:insideH w:val="single" w:sz="4" w:space="0" w:color="auto"/>
            <w:insideV w:val="single" w:sz="4" w:space="0" w:color="auto"/>
          </w:tblBorders>
        </w:tblPrEx>
        <w:trPr>
          <w:trHeight w:val="720"/>
          <w:jc w:val="center"/>
        </w:trPr>
        <w:tc>
          <w:tcPr>
            <w:tcW w:w="3253" w:type="dxa"/>
            <w:tcBorders>
              <w:top w:val="single" w:sz="2" w:space="0" w:color="auto"/>
              <w:bottom w:val="dotted" w:sz="4" w:space="0" w:color="auto"/>
              <w:right w:val="single" w:sz="6" w:space="0" w:color="auto"/>
            </w:tcBorders>
            <w:vAlign w:val="center"/>
          </w:tcPr>
          <w:p w:rsidR="00C138BC" w:rsidRPr="00BB7463" w:rsidRDefault="00C138BC" w:rsidP="00BB7463">
            <w:pPr>
              <w:pStyle w:val="ListParagraph"/>
              <w:numPr>
                <w:ilvl w:val="0"/>
                <w:numId w:val="2"/>
              </w:numPr>
              <w:ind w:left="335" w:hanging="335"/>
              <w:rPr>
                <w:b/>
                <w:smallCaps/>
                <w:spacing w:val="20"/>
                <w:sz w:val="26"/>
                <w:szCs w:val="26"/>
              </w:rPr>
            </w:pPr>
            <w:r w:rsidRPr="00BB7463">
              <w:rPr>
                <w:b/>
                <w:smallCaps/>
                <w:spacing w:val="20"/>
                <w:sz w:val="26"/>
                <w:szCs w:val="26"/>
              </w:rPr>
              <w:t>Specific   Activities to Address Task</w:t>
            </w:r>
          </w:p>
        </w:tc>
        <w:tc>
          <w:tcPr>
            <w:tcW w:w="7547" w:type="dxa"/>
            <w:tcBorders>
              <w:top w:val="single" w:sz="2" w:space="0" w:color="auto"/>
              <w:left w:val="single" w:sz="6" w:space="0" w:color="auto"/>
              <w:bottom w:val="dotted" w:sz="4" w:space="0" w:color="auto"/>
            </w:tcBorders>
            <w:vAlign w:val="center"/>
          </w:tcPr>
          <w:p w:rsidR="00C138BC" w:rsidRPr="001D23CF" w:rsidRDefault="00C138BC" w:rsidP="00486CBA">
            <w:pPr>
              <w:ind w:right="-115"/>
              <w:rPr>
                <w:rFonts w:ascii="Calibri" w:hAnsi="Calibri"/>
                <w:color w:val="000000"/>
              </w:rPr>
            </w:pPr>
            <w:r>
              <w:rPr>
                <w:rFonts w:ascii="Calibri" w:hAnsi="Calibri"/>
                <w:color w:val="000000"/>
              </w:rPr>
              <w:t>Develop a participatory governance structure handbook containing a detailed description of each governance unit, i.e. Faculty Senate, Staff Senate, and Council for Postsecondary Student Affairs (COPSA), to serve as a guide for the campus.</w:t>
            </w:r>
          </w:p>
        </w:tc>
      </w:tr>
      <w:tr w:rsidR="00C138BC" w:rsidRPr="000B19E1" w:rsidTr="00B31DF3">
        <w:tblPrEx>
          <w:tblBorders>
            <w:top w:val="none" w:sz="0" w:space="0" w:color="auto"/>
            <w:bottom w:val="single" w:sz="4" w:space="0" w:color="auto"/>
            <w:insideH w:val="single" w:sz="4" w:space="0" w:color="auto"/>
            <w:insideV w:val="single" w:sz="4" w:space="0" w:color="auto"/>
          </w:tblBorders>
        </w:tblPrEx>
        <w:trPr>
          <w:trHeight w:val="360"/>
          <w:jc w:val="center"/>
        </w:trPr>
        <w:tc>
          <w:tcPr>
            <w:tcW w:w="3253" w:type="dxa"/>
            <w:tcBorders>
              <w:top w:val="dotted" w:sz="4" w:space="0" w:color="auto"/>
              <w:bottom w:val="dotted" w:sz="4" w:space="0" w:color="auto"/>
              <w:right w:val="single" w:sz="6" w:space="0" w:color="auto"/>
            </w:tcBorders>
            <w:vAlign w:val="center"/>
          </w:tcPr>
          <w:p w:rsidR="00C138BC" w:rsidRPr="001D23CF" w:rsidRDefault="00C138BC" w:rsidP="00743E6C">
            <w:pPr>
              <w:jc w:val="right"/>
              <w:rPr>
                <w:smallCaps/>
                <w:spacing w:val="20"/>
              </w:rPr>
            </w:pPr>
            <w:r w:rsidRPr="001D23CF">
              <w:rPr>
                <w:smallCaps/>
                <w:spacing w:val="20"/>
              </w:rPr>
              <w:t>Person</w:t>
            </w:r>
            <w:r>
              <w:rPr>
                <w:smallCaps/>
                <w:spacing w:val="20"/>
              </w:rPr>
              <w:t>/Committee</w:t>
            </w:r>
            <w:r w:rsidRPr="001D23CF">
              <w:rPr>
                <w:smallCaps/>
                <w:spacing w:val="20"/>
              </w:rPr>
              <w:t xml:space="preserve"> Responsible</w:t>
            </w:r>
          </w:p>
        </w:tc>
        <w:tc>
          <w:tcPr>
            <w:tcW w:w="7547" w:type="dxa"/>
            <w:tcBorders>
              <w:top w:val="dotted" w:sz="4" w:space="0" w:color="auto"/>
              <w:left w:val="single" w:sz="6" w:space="0" w:color="auto"/>
              <w:bottom w:val="dotted" w:sz="4" w:space="0" w:color="auto"/>
            </w:tcBorders>
            <w:vAlign w:val="center"/>
          </w:tcPr>
          <w:p w:rsidR="00C138BC" w:rsidRPr="001D23CF" w:rsidRDefault="00C138BC" w:rsidP="00486CBA">
            <w:pPr>
              <w:ind w:right="-115"/>
              <w:rPr>
                <w:rFonts w:ascii="Calibri" w:hAnsi="Calibri"/>
                <w:color w:val="000000"/>
              </w:rPr>
            </w:pPr>
            <w:r>
              <w:rPr>
                <w:rFonts w:ascii="Calibri" w:hAnsi="Calibri"/>
                <w:color w:val="000000"/>
              </w:rPr>
              <w:t>Deans</w:t>
            </w:r>
          </w:p>
        </w:tc>
      </w:tr>
      <w:tr w:rsidR="00C138BC" w:rsidRPr="000B19E1" w:rsidTr="00B31DF3">
        <w:tblPrEx>
          <w:tblBorders>
            <w:top w:val="none" w:sz="0" w:space="0" w:color="auto"/>
            <w:bottom w:val="single" w:sz="4" w:space="0" w:color="auto"/>
            <w:insideH w:val="single" w:sz="4" w:space="0" w:color="auto"/>
            <w:insideV w:val="single" w:sz="4" w:space="0" w:color="auto"/>
          </w:tblBorders>
        </w:tblPrEx>
        <w:trPr>
          <w:trHeight w:val="360"/>
          <w:jc w:val="center"/>
        </w:trPr>
        <w:tc>
          <w:tcPr>
            <w:tcW w:w="3253" w:type="dxa"/>
            <w:tcBorders>
              <w:top w:val="dotted" w:sz="4" w:space="0" w:color="auto"/>
              <w:bottom w:val="dotted" w:sz="4" w:space="0" w:color="auto"/>
              <w:right w:val="single" w:sz="6" w:space="0" w:color="auto"/>
            </w:tcBorders>
            <w:vAlign w:val="center"/>
          </w:tcPr>
          <w:p w:rsidR="00C138BC" w:rsidRPr="001D23CF" w:rsidRDefault="00C138BC" w:rsidP="00743E6C">
            <w:pPr>
              <w:jc w:val="right"/>
              <w:rPr>
                <w:smallCaps/>
                <w:spacing w:val="20"/>
              </w:rPr>
            </w:pPr>
            <w:r w:rsidRPr="001D23CF">
              <w:rPr>
                <w:smallCaps/>
                <w:spacing w:val="20"/>
              </w:rPr>
              <w:t>Timeline</w:t>
            </w:r>
          </w:p>
        </w:tc>
        <w:tc>
          <w:tcPr>
            <w:tcW w:w="7547" w:type="dxa"/>
            <w:tcBorders>
              <w:top w:val="dotted" w:sz="4" w:space="0" w:color="auto"/>
              <w:left w:val="single" w:sz="6" w:space="0" w:color="auto"/>
              <w:bottom w:val="dotted" w:sz="4" w:space="0" w:color="auto"/>
            </w:tcBorders>
            <w:vAlign w:val="center"/>
          </w:tcPr>
          <w:p w:rsidR="00C138BC" w:rsidRPr="001D23CF" w:rsidRDefault="00C138BC" w:rsidP="00486CBA">
            <w:pPr>
              <w:ind w:right="-115"/>
              <w:rPr>
                <w:rFonts w:ascii="Calibri" w:hAnsi="Calibri"/>
                <w:color w:val="000000"/>
              </w:rPr>
            </w:pPr>
            <w:r>
              <w:rPr>
                <w:rFonts w:ascii="Calibri" w:hAnsi="Calibri"/>
                <w:color w:val="000000"/>
              </w:rPr>
              <w:t>Fall 2014</w:t>
            </w:r>
          </w:p>
        </w:tc>
      </w:tr>
      <w:tr w:rsidR="00C138BC" w:rsidRPr="000B19E1" w:rsidTr="00B31DF3">
        <w:tblPrEx>
          <w:tblBorders>
            <w:top w:val="none" w:sz="0" w:space="0" w:color="auto"/>
            <w:bottom w:val="single" w:sz="4" w:space="0" w:color="auto"/>
            <w:insideH w:val="single" w:sz="4" w:space="0" w:color="auto"/>
            <w:insideV w:val="single" w:sz="4" w:space="0" w:color="auto"/>
          </w:tblBorders>
        </w:tblPrEx>
        <w:trPr>
          <w:trHeight w:val="360"/>
          <w:jc w:val="center"/>
        </w:trPr>
        <w:tc>
          <w:tcPr>
            <w:tcW w:w="3253" w:type="dxa"/>
            <w:tcBorders>
              <w:top w:val="dotted" w:sz="4" w:space="0" w:color="auto"/>
              <w:bottom w:val="dotted" w:sz="4" w:space="0" w:color="auto"/>
              <w:right w:val="single" w:sz="6" w:space="0" w:color="auto"/>
            </w:tcBorders>
            <w:vAlign w:val="center"/>
          </w:tcPr>
          <w:p w:rsidR="00C138BC" w:rsidRPr="001D23CF" w:rsidRDefault="00C138BC" w:rsidP="00743E6C">
            <w:pPr>
              <w:jc w:val="right"/>
              <w:rPr>
                <w:smallCaps/>
                <w:spacing w:val="20"/>
              </w:rPr>
            </w:pPr>
            <w:r w:rsidRPr="001D23CF">
              <w:rPr>
                <w:smallCaps/>
                <w:spacing w:val="20"/>
              </w:rPr>
              <w:t>Status</w:t>
            </w:r>
          </w:p>
        </w:tc>
        <w:tc>
          <w:tcPr>
            <w:tcW w:w="7547" w:type="dxa"/>
            <w:tcBorders>
              <w:top w:val="dotted" w:sz="4" w:space="0" w:color="auto"/>
              <w:left w:val="single" w:sz="6" w:space="0" w:color="auto"/>
              <w:bottom w:val="dotted" w:sz="4" w:space="0" w:color="auto"/>
            </w:tcBorders>
            <w:shd w:val="clear" w:color="auto" w:fill="FFFFFF" w:themeFill="background1"/>
            <w:vAlign w:val="center"/>
          </w:tcPr>
          <w:p w:rsidR="00C138BC" w:rsidRPr="00010082" w:rsidRDefault="00C138BC" w:rsidP="00486CBA">
            <w:pPr>
              <w:ind w:right="-115"/>
              <w:rPr>
                <w:rFonts w:ascii="Calibri" w:hAnsi="Calibri"/>
                <w:color w:val="000000"/>
              </w:rPr>
            </w:pPr>
            <w:r>
              <w:rPr>
                <w:rFonts w:ascii="Calibri" w:hAnsi="Calibri"/>
                <w:color w:val="000000"/>
              </w:rPr>
              <w:t>Ongoing</w:t>
            </w:r>
          </w:p>
        </w:tc>
      </w:tr>
      <w:tr w:rsidR="00C138BC" w:rsidRPr="000B19E1" w:rsidTr="00B31DF3">
        <w:tblPrEx>
          <w:tblBorders>
            <w:top w:val="none" w:sz="0" w:space="0" w:color="auto"/>
            <w:bottom w:val="single" w:sz="4" w:space="0" w:color="auto"/>
            <w:insideH w:val="single" w:sz="4" w:space="0" w:color="auto"/>
            <w:insideV w:val="single" w:sz="4" w:space="0" w:color="auto"/>
          </w:tblBorders>
        </w:tblPrEx>
        <w:trPr>
          <w:trHeight w:val="360"/>
          <w:jc w:val="center"/>
        </w:trPr>
        <w:tc>
          <w:tcPr>
            <w:tcW w:w="3253" w:type="dxa"/>
            <w:tcBorders>
              <w:top w:val="dotted" w:sz="4" w:space="0" w:color="auto"/>
              <w:bottom w:val="dotted" w:sz="4" w:space="0" w:color="auto"/>
              <w:right w:val="single" w:sz="6" w:space="0" w:color="auto"/>
            </w:tcBorders>
            <w:vAlign w:val="center"/>
          </w:tcPr>
          <w:p w:rsidR="00C138BC" w:rsidRPr="001D23CF" w:rsidRDefault="00C138BC" w:rsidP="00743E6C">
            <w:pPr>
              <w:jc w:val="right"/>
              <w:rPr>
                <w:smallCaps/>
                <w:spacing w:val="20"/>
              </w:rPr>
            </w:pPr>
            <w:r w:rsidRPr="001D23CF">
              <w:rPr>
                <w:smallCaps/>
                <w:spacing w:val="20"/>
              </w:rPr>
              <w:t>Performance Measure</w:t>
            </w:r>
          </w:p>
        </w:tc>
        <w:tc>
          <w:tcPr>
            <w:tcW w:w="7547" w:type="dxa"/>
            <w:tcBorders>
              <w:top w:val="dotted" w:sz="4" w:space="0" w:color="auto"/>
              <w:left w:val="single" w:sz="6" w:space="0" w:color="auto"/>
              <w:bottom w:val="dotted" w:sz="4" w:space="0" w:color="auto"/>
            </w:tcBorders>
            <w:vAlign w:val="center"/>
          </w:tcPr>
          <w:p w:rsidR="00C138BC" w:rsidRPr="001D23CF" w:rsidRDefault="00C138BC" w:rsidP="00486CBA">
            <w:pPr>
              <w:ind w:right="-115"/>
              <w:rPr>
                <w:rFonts w:ascii="Calibri" w:hAnsi="Calibri"/>
                <w:color w:val="000000"/>
              </w:rPr>
            </w:pPr>
            <w:r>
              <w:rPr>
                <w:rFonts w:ascii="Calibri" w:hAnsi="Calibri"/>
                <w:color w:val="000000"/>
              </w:rPr>
              <w:t>The Participatory Governance Structure Handbook contains the history of participatory governance at the College and presents a diagram of the current structure in place with a detailed description of each body within the structure.</w:t>
            </w:r>
          </w:p>
        </w:tc>
      </w:tr>
      <w:tr w:rsidR="00C138BC" w:rsidRPr="000B19E1" w:rsidTr="00B31DF3">
        <w:tblPrEx>
          <w:tblBorders>
            <w:top w:val="none" w:sz="0" w:space="0" w:color="auto"/>
            <w:bottom w:val="single" w:sz="4" w:space="0" w:color="auto"/>
            <w:insideH w:val="single" w:sz="4" w:space="0" w:color="auto"/>
            <w:insideV w:val="single" w:sz="4" w:space="0" w:color="auto"/>
          </w:tblBorders>
        </w:tblPrEx>
        <w:trPr>
          <w:trHeight w:val="360"/>
          <w:jc w:val="center"/>
        </w:trPr>
        <w:tc>
          <w:tcPr>
            <w:tcW w:w="3253" w:type="dxa"/>
            <w:tcBorders>
              <w:top w:val="dotted" w:sz="4" w:space="0" w:color="auto"/>
              <w:bottom w:val="dotted" w:sz="4" w:space="0" w:color="auto"/>
              <w:right w:val="single" w:sz="6" w:space="0" w:color="auto"/>
            </w:tcBorders>
            <w:vAlign w:val="center"/>
          </w:tcPr>
          <w:p w:rsidR="00C138BC" w:rsidRPr="001D23CF" w:rsidRDefault="00C138BC" w:rsidP="00743E6C">
            <w:pPr>
              <w:jc w:val="right"/>
              <w:rPr>
                <w:smallCaps/>
                <w:spacing w:val="20"/>
              </w:rPr>
            </w:pPr>
            <w:r w:rsidRPr="001D23CF">
              <w:rPr>
                <w:smallCaps/>
                <w:spacing w:val="20"/>
              </w:rPr>
              <w:t>Percent Completed</w:t>
            </w:r>
          </w:p>
        </w:tc>
        <w:tc>
          <w:tcPr>
            <w:tcW w:w="7547" w:type="dxa"/>
            <w:tcBorders>
              <w:top w:val="dotted" w:sz="4" w:space="0" w:color="auto"/>
              <w:left w:val="single" w:sz="6" w:space="0" w:color="auto"/>
              <w:bottom w:val="dotted" w:sz="4" w:space="0" w:color="auto"/>
            </w:tcBorders>
            <w:vAlign w:val="center"/>
          </w:tcPr>
          <w:p w:rsidR="00C138BC" w:rsidRPr="00010082" w:rsidRDefault="00C138BC" w:rsidP="00486CBA">
            <w:pPr>
              <w:ind w:right="-115"/>
              <w:rPr>
                <w:rFonts w:ascii="Calibri" w:hAnsi="Calibri"/>
                <w:color w:val="000000"/>
              </w:rPr>
            </w:pPr>
            <w:r>
              <w:rPr>
                <w:rFonts w:ascii="Calibri" w:hAnsi="Calibri"/>
                <w:color w:val="000000"/>
              </w:rPr>
              <w:t>90%</w:t>
            </w:r>
          </w:p>
        </w:tc>
      </w:tr>
      <w:tr w:rsidR="00C138BC" w:rsidRPr="000B19E1" w:rsidTr="00B31DF3">
        <w:tblPrEx>
          <w:tblBorders>
            <w:top w:val="none" w:sz="0" w:space="0" w:color="auto"/>
            <w:bottom w:val="single" w:sz="4" w:space="0" w:color="auto"/>
            <w:insideH w:val="single" w:sz="4" w:space="0" w:color="auto"/>
            <w:insideV w:val="single" w:sz="4" w:space="0" w:color="auto"/>
          </w:tblBorders>
        </w:tblPrEx>
        <w:trPr>
          <w:trHeight w:val="360"/>
          <w:jc w:val="center"/>
        </w:trPr>
        <w:tc>
          <w:tcPr>
            <w:tcW w:w="3253" w:type="dxa"/>
            <w:tcBorders>
              <w:top w:val="dotted" w:sz="4" w:space="0" w:color="auto"/>
              <w:bottom w:val="dotted" w:sz="4" w:space="0" w:color="auto"/>
              <w:right w:val="single" w:sz="6" w:space="0" w:color="auto"/>
            </w:tcBorders>
            <w:vAlign w:val="center"/>
          </w:tcPr>
          <w:p w:rsidR="00C138BC" w:rsidRPr="001D23CF" w:rsidRDefault="00C138BC" w:rsidP="00743E6C">
            <w:pPr>
              <w:jc w:val="right"/>
              <w:rPr>
                <w:smallCaps/>
                <w:spacing w:val="20"/>
              </w:rPr>
            </w:pPr>
            <w:r w:rsidRPr="001D23CF">
              <w:rPr>
                <w:smallCaps/>
                <w:spacing w:val="20"/>
              </w:rPr>
              <w:t>Next Steps</w:t>
            </w:r>
          </w:p>
        </w:tc>
        <w:tc>
          <w:tcPr>
            <w:tcW w:w="7547" w:type="dxa"/>
            <w:tcBorders>
              <w:top w:val="dotted" w:sz="4" w:space="0" w:color="auto"/>
              <w:left w:val="single" w:sz="6" w:space="0" w:color="auto"/>
              <w:bottom w:val="dotted" w:sz="4" w:space="0" w:color="auto"/>
            </w:tcBorders>
            <w:vAlign w:val="center"/>
          </w:tcPr>
          <w:p w:rsidR="00C138BC" w:rsidRPr="001D23CF" w:rsidRDefault="00C138BC" w:rsidP="003521B1">
            <w:pPr>
              <w:ind w:right="-115"/>
              <w:rPr>
                <w:rFonts w:ascii="Calibri" w:hAnsi="Calibri"/>
                <w:color w:val="000000"/>
              </w:rPr>
            </w:pPr>
            <w:r>
              <w:rPr>
                <w:rFonts w:ascii="Calibri" w:hAnsi="Calibri"/>
                <w:color w:val="000000"/>
              </w:rPr>
              <w:t>A campus</w:t>
            </w:r>
            <w:r w:rsidR="00E91059">
              <w:rPr>
                <w:rFonts w:ascii="Calibri" w:hAnsi="Calibri"/>
                <w:color w:val="000000"/>
              </w:rPr>
              <w:t>-wide</w:t>
            </w:r>
            <w:r>
              <w:rPr>
                <w:rFonts w:ascii="Calibri" w:hAnsi="Calibri"/>
                <w:color w:val="000000"/>
              </w:rPr>
              <w:t xml:space="preserve"> training on the Participatory Governance Structure Handbook</w:t>
            </w:r>
            <w:r w:rsidR="003521B1">
              <w:rPr>
                <w:rFonts w:ascii="Calibri" w:hAnsi="Calibri"/>
                <w:color w:val="000000"/>
              </w:rPr>
              <w:t xml:space="preserve">, as </w:t>
            </w:r>
            <w:r>
              <w:rPr>
                <w:rFonts w:ascii="Calibri" w:hAnsi="Calibri"/>
                <w:color w:val="000000"/>
              </w:rPr>
              <w:t>requested by various constituents</w:t>
            </w:r>
            <w:r w:rsidR="003521B1">
              <w:rPr>
                <w:rFonts w:ascii="Calibri" w:hAnsi="Calibri"/>
                <w:color w:val="000000"/>
              </w:rPr>
              <w:t>,</w:t>
            </w:r>
            <w:r>
              <w:rPr>
                <w:rFonts w:ascii="Calibri" w:hAnsi="Calibri"/>
                <w:color w:val="000000"/>
              </w:rPr>
              <w:t xml:space="preserve"> is scheduled for January 2015</w:t>
            </w:r>
            <w:r w:rsidR="00897BDC">
              <w:rPr>
                <w:rFonts w:ascii="Calibri" w:hAnsi="Calibri"/>
                <w:color w:val="000000"/>
              </w:rPr>
              <w:t>. Associate Dean Gary Hartz will lead this training.</w:t>
            </w:r>
          </w:p>
        </w:tc>
      </w:tr>
      <w:tr w:rsidR="00C138BC" w:rsidRPr="000B19E1" w:rsidTr="00B31DF3">
        <w:tblPrEx>
          <w:tblBorders>
            <w:top w:val="none" w:sz="0" w:space="0" w:color="auto"/>
            <w:bottom w:val="single" w:sz="4" w:space="0" w:color="auto"/>
            <w:insideH w:val="single" w:sz="4" w:space="0" w:color="auto"/>
            <w:insideV w:val="single" w:sz="4" w:space="0" w:color="auto"/>
          </w:tblBorders>
        </w:tblPrEx>
        <w:trPr>
          <w:trHeight w:val="360"/>
          <w:jc w:val="center"/>
        </w:trPr>
        <w:tc>
          <w:tcPr>
            <w:tcW w:w="3253" w:type="dxa"/>
            <w:tcBorders>
              <w:top w:val="dotted" w:sz="4" w:space="0" w:color="auto"/>
              <w:bottom w:val="double" w:sz="2" w:space="0" w:color="auto"/>
              <w:right w:val="single" w:sz="6" w:space="0" w:color="auto"/>
            </w:tcBorders>
            <w:vAlign w:val="center"/>
          </w:tcPr>
          <w:p w:rsidR="00C138BC" w:rsidRPr="001D23CF" w:rsidRDefault="00C138BC" w:rsidP="00743E6C">
            <w:pPr>
              <w:jc w:val="right"/>
              <w:rPr>
                <w:smallCaps/>
                <w:spacing w:val="20"/>
              </w:rPr>
            </w:pPr>
            <w:r w:rsidRPr="001D23CF">
              <w:rPr>
                <w:smallCaps/>
                <w:spacing w:val="20"/>
              </w:rPr>
              <w:t>Comments</w:t>
            </w:r>
          </w:p>
        </w:tc>
        <w:tc>
          <w:tcPr>
            <w:tcW w:w="7547" w:type="dxa"/>
            <w:tcBorders>
              <w:top w:val="dotted" w:sz="4" w:space="0" w:color="auto"/>
              <w:left w:val="single" w:sz="6" w:space="0" w:color="auto"/>
              <w:bottom w:val="double" w:sz="2" w:space="0" w:color="auto"/>
            </w:tcBorders>
            <w:vAlign w:val="center"/>
          </w:tcPr>
          <w:p w:rsidR="00C138BC" w:rsidRPr="001D23CF" w:rsidRDefault="008F7D31" w:rsidP="003521B1">
            <w:pPr>
              <w:ind w:right="-115"/>
              <w:rPr>
                <w:rFonts w:ascii="Calibri" w:hAnsi="Calibri"/>
                <w:color w:val="000000"/>
              </w:rPr>
            </w:pPr>
            <w:r>
              <w:rPr>
                <w:rFonts w:ascii="Calibri" w:hAnsi="Calibri"/>
                <w:color w:val="000000"/>
              </w:rPr>
              <w:t>With the formalized documentation of the participatory governance structure through the handbook, the groundwork for the campus-wide governance survey</w:t>
            </w:r>
            <w:r w:rsidR="003521B1">
              <w:rPr>
                <w:rFonts w:ascii="Calibri" w:hAnsi="Calibri"/>
                <w:color w:val="000000"/>
              </w:rPr>
              <w:t xml:space="preserve"> begins</w:t>
            </w:r>
            <w:r>
              <w:rPr>
                <w:rFonts w:ascii="Calibri" w:hAnsi="Calibri"/>
                <w:color w:val="000000"/>
              </w:rPr>
              <w:t xml:space="preserve">. The Office of Assessment, Institutional Effectiveness &amp; Research will lead this campus-wide study and reporting targeted </w:t>
            </w:r>
            <w:r w:rsidR="008244B1">
              <w:rPr>
                <w:rFonts w:ascii="Calibri" w:hAnsi="Calibri"/>
                <w:color w:val="000000"/>
              </w:rPr>
              <w:t>for academic year 2015-</w:t>
            </w:r>
            <w:r>
              <w:rPr>
                <w:rFonts w:ascii="Calibri" w:hAnsi="Calibri"/>
                <w:color w:val="000000"/>
              </w:rPr>
              <w:t>2016.</w:t>
            </w:r>
          </w:p>
        </w:tc>
      </w:tr>
    </w:tbl>
    <w:p w:rsidR="003607EE" w:rsidRDefault="003607EE" w:rsidP="00486CBA">
      <w:pPr>
        <w:spacing w:after="0"/>
      </w:pPr>
    </w:p>
    <w:tbl>
      <w:tblPr>
        <w:tblStyle w:val="TableGrid"/>
        <w:tblW w:w="10800" w:type="dxa"/>
        <w:jc w:val="center"/>
        <w:tblBorders>
          <w:top w:val="double" w:sz="2" w:space="0" w:color="auto"/>
          <w:left w:val="none" w:sz="0" w:space="0" w:color="auto"/>
          <w:bottom w:val="double" w:sz="4" w:space="0" w:color="auto"/>
          <w:right w:val="none" w:sz="0" w:space="0" w:color="auto"/>
          <w:insideH w:val="dotted" w:sz="4" w:space="0" w:color="auto"/>
          <w:insideV w:val="single" w:sz="6" w:space="0" w:color="auto"/>
        </w:tblBorders>
        <w:tblCellMar>
          <w:left w:w="115" w:type="dxa"/>
          <w:right w:w="115" w:type="dxa"/>
        </w:tblCellMar>
        <w:tblLook w:val="04A0"/>
      </w:tblPr>
      <w:tblGrid>
        <w:gridCol w:w="3253"/>
        <w:gridCol w:w="7547"/>
      </w:tblGrid>
      <w:tr w:rsidR="00C138BC" w:rsidRPr="001D23CF" w:rsidTr="003E0E7F">
        <w:trPr>
          <w:trHeight w:val="360"/>
          <w:jc w:val="center"/>
        </w:trPr>
        <w:tc>
          <w:tcPr>
            <w:tcW w:w="3253" w:type="dxa"/>
            <w:vAlign w:val="center"/>
          </w:tcPr>
          <w:p w:rsidR="00C138BC" w:rsidRPr="00BB7463" w:rsidRDefault="00C138BC" w:rsidP="00B31DF3">
            <w:pPr>
              <w:pStyle w:val="ListParagraph"/>
              <w:numPr>
                <w:ilvl w:val="0"/>
                <w:numId w:val="2"/>
              </w:numPr>
              <w:ind w:left="335" w:hanging="335"/>
              <w:rPr>
                <w:b/>
                <w:smallCaps/>
                <w:spacing w:val="20"/>
                <w:sz w:val="26"/>
                <w:szCs w:val="26"/>
              </w:rPr>
            </w:pPr>
            <w:r w:rsidRPr="00BB7463">
              <w:rPr>
                <w:b/>
                <w:smallCaps/>
                <w:spacing w:val="20"/>
                <w:sz w:val="26"/>
                <w:szCs w:val="26"/>
              </w:rPr>
              <w:t>Specific   Activities to Address Task</w:t>
            </w:r>
          </w:p>
        </w:tc>
        <w:tc>
          <w:tcPr>
            <w:tcW w:w="7547" w:type="dxa"/>
            <w:vAlign w:val="center"/>
          </w:tcPr>
          <w:p w:rsidR="00C138BC" w:rsidRPr="001D23CF" w:rsidRDefault="006C0DC1" w:rsidP="00960084">
            <w:pPr>
              <w:ind w:right="-115"/>
              <w:rPr>
                <w:rFonts w:ascii="Calibri" w:hAnsi="Calibri"/>
                <w:color w:val="000000"/>
              </w:rPr>
            </w:pPr>
            <w:r>
              <w:rPr>
                <w:rFonts w:ascii="Calibri" w:hAnsi="Calibri"/>
                <w:color w:val="000000"/>
              </w:rPr>
              <w:t>Coordinate</w:t>
            </w:r>
            <w:r w:rsidR="00C138BC">
              <w:rPr>
                <w:rFonts w:ascii="Calibri" w:hAnsi="Calibri"/>
                <w:color w:val="000000"/>
              </w:rPr>
              <w:t xml:space="preserve"> </w:t>
            </w:r>
            <w:r>
              <w:rPr>
                <w:rFonts w:ascii="Calibri" w:hAnsi="Calibri"/>
                <w:color w:val="000000"/>
              </w:rPr>
              <w:t xml:space="preserve">the documentation and recording of </w:t>
            </w:r>
            <w:r w:rsidR="00C138BC">
              <w:rPr>
                <w:rFonts w:ascii="Calibri" w:hAnsi="Calibri"/>
                <w:color w:val="000000"/>
              </w:rPr>
              <w:t>the activities and accomplishments of each governance unit</w:t>
            </w:r>
            <w:r>
              <w:rPr>
                <w:rFonts w:ascii="Calibri" w:hAnsi="Calibri"/>
                <w:color w:val="000000"/>
              </w:rPr>
              <w:t xml:space="preserve"> into a regular and systematic archive of evidence at AIER and online on MyGCC</w:t>
            </w:r>
            <w:r w:rsidR="00C138BC">
              <w:rPr>
                <w:rFonts w:ascii="Calibri" w:hAnsi="Calibri"/>
                <w:color w:val="000000"/>
              </w:rPr>
              <w:t>.</w:t>
            </w:r>
          </w:p>
        </w:tc>
      </w:tr>
      <w:tr w:rsidR="00C138BC" w:rsidRPr="001D23CF" w:rsidTr="003E0E7F">
        <w:trPr>
          <w:trHeight w:val="360"/>
          <w:jc w:val="center"/>
        </w:trPr>
        <w:tc>
          <w:tcPr>
            <w:tcW w:w="3253" w:type="dxa"/>
            <w:vAlign w:val="center"/>
          </w:tcPr>
          <w:p w:rsidR="00C138BC" w:rsidRPr="001D23CF" w:rsidRDefault="00C138BC" w:rsidP="003E0E7F">
            <w:pPr>
              <w:jc w:val="right"/>
              <w:rPr>
                <w:smallCaps/>
                <w:spacing w:val="20"/>
              </w:rPr>
            </w:pPr>
            <w:r w:rsidRPr="001D23CF">
              <w:rPr>
                <w:smallCaps/>
                <w:spacing w:val="20"/>
              </w:rPr>
              <w:t>Person</w:t>
            </w:r>
            <w:r>
              <w:rPr>
                <w:smallCaps/>
                <w:spacing w:val="20"/>
              </w:rPr>
              <w:t>/Committee</w:t>
            </w:r>
            <w:r w:rsidRPr="001D23CF">
              <w:rPr>
                <w:smallCaps/>
                <w:spacing w:val="20"/>
              </w:rPr>
              <w:t xml:space="preserve"> Responsible</w:t>
            </w:r>
          </w:p>
        </w:tc>
        <w:tc>
          <w:tcPr>
            <w:tcW w:w="7547" w:type="dxa"/>
            <w:vAlign w:val="center"/>
          </w:tcPr>
          <w:p w:rsidR="00C138BC" w:rsidRPr="001D23CF" w:rsidRDefault="00C138BC" w:rsidP="00960084">
            <w:pPr>
              <w:ind w:right="-115"/>
              <w:rPr>
                <w:rFonts w:ascii="Calibri" w:hAnsi="Calibri"/>
                <w:color w:val="000000"/>
              </w:rPr>
            </w:pPr>
            <w:r>
              <w:rPr>
                <w:rFonts w:ascii="Calibri" w:hAnsi="Calibri"/>
                <w:color w:val="000000"/>
              </w:rPr>
              <w:t>Faculty Senate, Staff Senate, COPSA and Communications and Promotions Department.</w:t>
            </w:r>
          </w:p>
        </w:tc>
      </w:tr>
      <w:tr w:rsidR="00C138BC" w:rsidRPr="001D23CF" w:rsidTr="003E0E7F">
        <w:trPr>
          <w:trHeight w:val="360"/>
          <w:jc w:val="center"/>
        </w:trPr>
        <w:tc>
          <w:tcPr>
            <w:tcW w:w="3253" w:type="dxa"/>
            <w:vAlign w:val="center"/>
          </w:tcPr>
          <w:p w:rsidR="00C138BC" w:rsidRPr="001D23CF" w:rsidRDefault="00C138BC" w:rsidP="003E0E7F">
            <w:pPr>
              <w:jc w:val="right"/>
              <w:rPr>
                <w:smallCaps/>
                <w:spacing w:val="20"/>
              </w:rPr>
            </w:pPr>
            <w:r w:rsidRPr="001D23CF">
              <w:rPr>
                <w:smallCaps/>
                <w:spacing w:val="20"/>
              </w:rPr>
              <w:t>Timeline</w:t>
            </w:r>
          </w:p>
        </w:tc>
        <w:tc>
          <w:tcPr>
            <w:tcW w:w="7547" w:type="dxa"/>
            <w:vAlign w:val="center"/>
          </w:tcPr>
          <w:p w:rsidR="00C138BC" w:rsidRPr="001D23CF" w:rsidRDefault="00153D2B" w:rsidP="00960084">
            <w:pPr>
              <w:ind w:right="-115"/>
              <w:rPr>
                <w:rFonts w:ascii="Calibri" w:hAnsi="Calibri"/>
                <w:color w:val="000000"/>
              </w:rPr>
            </w:pPr>
            <w:r>
              <w:rPr>
                <w:rFonts w:ascii="Calibri" w:hAnsi="Calibri"/>
                <w:color w:val="000000"/>
              </w:rPr>
              <w:t>Annually</w:t>
            </w:r>
          </w:p>
        </w:tc>
      </w:tr>
      <w:tr w:rsidR="00C138BC" w:rsidRPr="001D23CF" w:rsidTr="003E0E7F">
        <w:trPr>
          <w:trHeight w:val="360"/>
          <w:jc w:val="center"/>
        </w:trPr>
        <w:tc>
          <w:tcPr>
            <w:tcW w:w="3253" w:type="dxa"/>
            <w:vAlign w:val="center"/>
          </w:tcPr>
          <w:p w:rsidR="00C138BC" w:rsidRPr="001D23CF" w:rsidRDefault="00C138BC" w:rsidP="003E0E7F">
            <w:pPr>
              <w:jc w:val="right"/>
              <w:rPr>
                <w:smallCaps/>
                <w:spacing w:val="20"/>
              </w:rPr>
            </w:pPr>
            <w:r w:rsidRPr="001D23CF">
              <w:rPr>
                <w:smallCaps/>
                <w:spacing w:val="20"/>
              </w:rPr>
              <w:t>Status</w:t>
            </w:r>
          </w:p>
        </w:tc>
        <w:tc>
          <w:tcPr>
            <w:tcW w:w="7547" w:type="dxa"/>
            <w:vAlign w:val="center"/>
          </w:tcPr>
          <w:p w:rsidR="00C138BC" w:rsidRPr="00010082" w:rsidRDefault="00153D2B" w:rsidP="00960084">
            <w:pPr>
              <w:ind w:right="-115"/>
              <w:rPr>
                <w:rFonts w:ascii="Calibri" w:hAnsi="Calibri"/>
                <w:color w:val="000000"/>
              </w:rPr>
            </w:pPr>
            <w:r>
              <w:rPr>
                <w:rFonts w:ascii="Calibri" w:hAnsi="Calibri"/>
                <w:color w:val="000000"/>
              </w:rPr>
              <w:t>Ongoing</w:t>
            </w:r>
          </w:p>
        </w:tc>
      </w:tr>
      <w:tr w:rsidR="00C138BC" w:rsidRPr="00010082" w:rsidTr="003E0E7F">
        <w:trPr>
          <w:trHeight w:val="360"/>
          <w:jc w:val="center"/>
        </w:trPr>
        <w:tc>
          <w:tcPr>
            <w:tcW w:w="3253" w:type="dxa"/>
            <w:vAlign w:val="center"/>
          </w:tcPr>
          <w:p w:rsidR="00C138BC" w:rsidRPr="001D23CF" w:rsidRDefault="00C138BC" w:rsidP="003E0E7F">
            <w:pPr>
              <w:jc w:val="right"/>
              <w:rPr>
                <w:smallCaps/>
                <w:spacing w:val="20"/>
              </w:rPr>
            </w:pPr>
            <w:r w:rsidRPr="001D23CF">
              <w:rPr>
                <w:smallCaps/>
                <w:spacing w:val="20"/>
              </w:rPr>
              <w:t>Performance Measure</w:t>
            </w:r>
          </w:p>
        </w:tc>
        <w:tc>
          <w:tcPr>
            <w:tcW w:w="7547" w:type="dxa"/>
            <w:vAlign w:val="center"/>
          </w:tcPr>
          <w:p w:rsidR="00C138BC" w:rsidRPr="001D23CF" w:rsidRDefault="00153D2B" w:rsidP="00960084">
            <w:pPr>
              <w:ind w:right="-115"/>
              <w:rPr>
                <w:rFonts w:ascii="Calibri" w:hAnsi="Calibri"/>
                <w:color w:val="000000"/>
              </w:rPr>
            </w:pPr>
            <w:r>
              <w:rPr>
                <w:rFonts w:ascii="Calibri" w:hAnsi="Calibri"/>
                <w:color w:val="000000"/>
              </w:rPr>
              <w:t>With the upgrade of the MyGCC portal, each governance body and the committees under each have a dedicated web site where agendas, minutes, and other committee documentation may be uploaded for access by everyone; and, the portal sites have various collaboration tools that are available, such as blogs, message boards, calendars, events, and other online resources that support anytime, anywhere access and feedback.</w:t>
            </w:r>
            <w:r w:rsidR="006C0DC1">
              <w:rPr>
                <w:rFonts w:ascii="Calibri" w:hAnsi="Calibri"/>
                <w:color w:val="000000"/>
              </w:rPr>
              <w:t xml:space="preserve"> A comprehensive inventory of archived governance documents available online on the MyGCC portal.</w:t>
            </w:r>
          </w:p>
        </w:tc>
      </w:tr>
      <w:tr w:rsidR="00C138BC" w:rsidRPr="001D23CF" w:rsidTr="003E0E7F">
        <w:trPr>
          <w:trHeight w:val="360"/>
          <w:jc w:val="center"/>
        </w:trPr>
        <w:tc>
          <w:tcPr>
            <w:tcW w:w="3253" w:type="dxa"/>
            <w:vAlign w:val="center"/>
          </w:tcPr>
          <w:p w:rsidR="00C138BC" w:rsidRPr="001D23CF" w:rsidRDefault="00C138BC" w:rsidP="003E0E7F">
            <w:pPr>
              <w:jc w:val="right"/>
              <w:rPr>
                <w:smallCaps/>
                <w:spacing w:val="20"/>
              </w:rPr>
            </w:pPr>
            <w:r w:rsidRPr="001D23CF">
              <w:rPr>
                <w:smallCaps/>
                <w:spacing w:val="20"/>
              </w:rPr>
              <w:t>Percent Completed</w:t>
            </w:r>
          </w:p>
        </w:tc>
        <w:tc>
          <w:tcPr>
            <w:tcW w:w="7547" w:type="dxa"/>
            <w:vAlign w:val="center"/>
          </w:tcPr>
          <w:p w:rsidR="00C138BC" w:rsidRPr="00010082" w:rsidRDefault="00153D2B" w:rsidP="00960084">
            <w:pPr>
              <w:ind w:right="-115"/>
              <w:rPr>
                <w:rFonts w:ascii="Calibri" w:hAnsi="Calibri"/>
                <w:color w:val="000000"/>
              </w:rPr>
            </w:pPr>
            <w:r>
              <w:rPr>
                <w:rFonts w:ascii="Calibri" w:hAnsi="Calibri"/>
                <w:color w:val="000000"/>
              </w:rPr>
              <w:t>50%</w:t>
            </w:r>
          </w:p>
        </w:tc>
      </w:tr>
      <w:tr w:rsidR="00C138BC" w:rsidRPr="00010082" w:rsidTr="003E0E7F">
        <w:trPr>
          <w:trHeight w:val="360"/>
          <w:jc w:val="center"/>
        </w:trPr>
        <w:tc>
          <w:tcPr>
            <w:tcW w:w="3253" w:type="dxa"/>
            <w:vAlign w:val="center"/>
          </w:tcPr>
          <w:p w:rsidR="00C138BC" w:rsidRPr="001D23CF" w:rsidRDefault="00C138BC" w:rsidP="003E0E7F">
            <w:pPr>
              <w:jc w:val="right"/>
              <w:rPr>
                <w:smallCaps/>
                <w:spacing w:val="20"/>
              </w:rPr>
            </w:pPr>
            <w:r w:rsidRPr="001D23CF">
              <w:rPr>
                <w:smallCaps/>
                <w:spacing w:val="20"/>
              </w:rPr>
              <w:t>Next Steps</w:t>
            </w:r>
          </w:p>
        </w:tc>
        <w:tc>
          <w:tcPr>
            <w:tcW w:w="7547" w:type="dxa"/>
            <w:vAlign w:val="center"/>
          </w:tcPr>
          <w:p w:rsidR="00C138BC" w:rsidRPr="001D23CF" w:rsidRDefault="003521B1" w:rsidP="00960084">
            <w:pPr>
              <w:ind w:right="-115"/>
              <w:rPr>
                <w:rFonts w:ascii="Calibri" w:hAnsi="Calibri"/>
                <w:color w:val="000000"/>
              </w:rPr>
            </w:pPr>
            <w:r>
              <w:rPr>
                <w:rFonts w:ascii="Calibri" w:hAnsi="Calibri"/>
                <w:color w:val="000000"/>
              </w:rPr>
              <w:t>Committee documentation has</w:t>
            </w:r>
            <w:r w:rsidR="000F42CA">
              <w:rPr>
                <w:rFonts w:ascii="Calibri" w:hAnsi="Calibri"/>
                <w:color w:val="000000"/>
              </w:rPr>
              <w:t xml:space="preserve"> been sporadic and </w:t>
            </w:r>
            <w:r>
              <w:rPr>
                <w:rFonts w:ascii="Calibri" w:hAnsi="Calibri"/>
                <w:color w:val="000000"/>
              </w:rPr>
              <w:t xml:space="preserve">inconsistent; however, with </w:t>
            </w:r>
            <w:r w:rsidR="000F42CA">
              <w:rPr>
                <w:rFonts w:ascii="Calibri" w:hAnsi="Calibri"/>
                <w:color w:val="000000"/>
              </w:rPr>
              <w:t xml:space="preserve">publication and training on the Participatory Governance Structure Handbook, </w:t>
            </w:r>
            <w:r>
              <w:rPr>
                <w:rFonts w:ascii="Calibri" w:hAnsi="Calibri"/>
                <w:color w:val="000000"/>
              </w:rPr>
              <w:t xml:space="preserve">there is now </w:t>
            </w:r>
            <w:r w:rsidR="000F42CA">
              <w:rPr>
                <w:rFonts w:ascii="Calibri" w:hAnsi="Calibri"/>
                <w:color w:val="000000"/>
              </w:rPr>
              <w:t>a renewed effort to provide these critical documents to the AIER Office, the designated repository for all accreditation-related documentation.</w:t>
            </w:r>
            <w:r w:rsidR="00486CBA">
              <w:rPr>
                <w:rFonts w:ascii="Calibri" w:hAnsi="Calibri"/>
                <w:color w:val="000000"/>
              </w:rPr>
              <w:t xml:space="preserve"> Also, </w:t>
            </w:r>
            <w:r w:rsidR="00486CBA">
              <w:rPr>
                <w:rFonts w:ascii="Calibri" w:hAnsi="Calibri"/>
                <w:color w:val="000000"/>
              </w:rPr>
              <w:lastRenderedPageBreak/>
              <w:t>the</w:t>
            </w:r>
          </w:p>
        </w:tc>
      </w:tr>
      <w:tr w:rsidR="00C138BC" w:rsidRPr="001D23CF" w:rsidTr="003E0E7F">
        <w:trPr>
          <w:trHeight w:val="360"/>
          <w:jc w:val="center"/>
        </w:trPr>
        <w:tc>
          <w:tcPr>
            <w:tcW w:w="3253" w:type="dxa"/>
            <w:vAlign w:val="center"/>
          </w:tcPr>
          <w:p w:rsidR="00C138BC" w:rsidRPr="001D23CF" w:rsidRDefault="00C138BC" w:rsidP="003E0E7F">
            <w:pPr>
              <w:jc w:val="right"/>
              <w:rPr>
                <w:smallCaps/>
                <w:spacing w:val="20"/>
              </w:rPr>
            </w:pPr>
            <w:r w:rsidRPr="001D23CF">
              <w:rPr>
                <w:smallCaps/>
                <w:spacing w:val="20"/>
              </w:rPr>
              <w:lastRenderedPageBreak/>
              <w:t>Comments</w:t>
            </w:r>
          </w:p>
        </w:tc>
        <w:tc>
          <w:tcPr>
            <w:tcW w:w="7547" w:type="dxa"/>
            <w:vAlign w:val="center"/>
          </w:tcPr>
          <w:p w:rsidR="00C138BC" w:rsidRPr="001D23CF" w:rsidRDefault="006120D3" w:rsidP="00960084">
            <w:pPr>
              <w:ind w:right="-115"/>
              <w:rPr>
                <w:rFonts w:ascii="Calibri" w:hAnsi="Calibri"/>
                <w:color w:val="000000"/>
              </w:rPr>
            </w:pPr>
            <w:r>
              <w:rPr>
                <w:rFonts w:ascii="Calibri" w:hAnsi="Calibri"/>
                <w:color w:val="000000"/>
              </w:rPr>
              <w:t xml:space="preserve">annual year-end governance reports submitted by the Faculty Senate, Staff Senate, and COPSA provide a self-report by each body on its effectiveness in achieving its goals for the academic year and setting the </w:t>
            </w:r>
            <w:r w:rsidR="00960084">
              <w:rPr>
                <w:rFonts w:ascii="Calibri" w:hAnsi="Calibri"/>
                <w:color w:val="000000"/>
              </w:rPr>
              <w:t>theme for the goals of the upcoming academic year. A standard report template is being finalized by AIER.</w:t>
            </w:r>
          </w:p>
        </w:tc>
      </w:tr>
    </w:tbl>
    <w:p w:rsidR="0090073F" w:rsidRDefault="0090073F" w:rsidP="005B2F9E"/>
    <w:sectPr w:rsidR="0090073F" w:rsidSect="00B70B62">
      <w:head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211" w:rsidRDefault="005A7211" w:rsidP="0021186E">
      <w:pPr>
        <w:spacing w:after="0" w:line="240" w:lineRule="auto"/>
      </w:pPr>
      <w:r>
        <w:separator/>
      </w:r>
    </w:p>
  </w:endnote>
  <w:endnote w:type="continuationSeparator" w:id="0">
    <w:p w:rsidR="005A7211" w:rsidRDefault="005A7211" w:rsidP="00211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211" w:rsidRDefault="005A7211" w:rsidP="0021186E">
      <w:pPr>
        <w:spacing w:after="0" w:line="240" w:lineRule="auto"/>
      </w:pPr>
      <w:r>
        <w:separator/>
      </w:r>
    </w:p>
  </w:footnote>
  <w:footnote w:type="continuationSeparator" w:id="0">
    <w:p w:rsidR="005A7211" w:rsidRDefault="005A7211" w:rsidP="00211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485"/>
      <w:gridCol w:w="2545"/>
    </w:tblGrid>
    <w:tr w:rsidR="00B70B62">
      <w:trPr>
        <w:trHeight w:val="288"/>
      </w:trPr>
      <w:sdt>
        <w:sdtPr>
          <w:rPr>
            <w:rFonts w:asciiTheme="majorHAnsi" w:eastAsiaTheme="majorEastAsia" w:hAnsiTheme="majorHAnsi" w:cstheme="majorBidi"/>
            <w:smallCaps/>
            <w:spacing w:val="20"/>
            <w:sz w:val="32"/>
            <w:szCs w:val="32"/>
          </w:rPr>
          <w:alias w:val="Title"/>
          <w:id w:val="77761602"/>
          <w:placeholder>
            <w:docPart w:val="2982296E2C214DD9BCFA8340DB931DA0"/>
          </w:placeholder>
          <w:dataBinding w:prefixMappings="xmlns:ns0='http://schemas.openxmlformats.org/package/2006/metadata/core-properties' xmlns:ns1='http://purl.org/dc/elements/1.1/'" w:xpath="/ns0:coreProperties[1]/ns1:title[1]" w:storeItemID="{6C3C8BC8-F283-45AE-878A-BAB7291924A1}"/>
          <w:text/>
        </w:sdtPr>
        <w:sdtContent>
          <w:tc>
            <w:tcPr>
              <w:tcW w:w="8485" w:type="dxa"/>
            </w:tcPr>
            <w:p w:rsidR="00B70B62" w:rsidRDefault="00B70B62" w:rsidP="007B1F6E">
              <w:pPr>
                <w:pStyle w:val="Header"/>
                <w:jc w:val="right"/>
                <w:rPr>
                  <w:rFonts w:asciiTheme="majorHAnsi" w:eastAsiaTheme="majorEastAsia" w:hAnsiTheme="majorHAnsi" w:cstheme="majorBidi"/>
                  <w:sz w:val="36"/>
                  <w:szCs w:val="36"/>
                </w:rPr>
              </w:pPr>
              <w:r w:rsidRPr="002968E8">
                <w:rPr>
                  <w:rFonts w:asciiTheme="majorHAnsi" w:eastAsiaTheme="majorEastAsia" w:hAnsiTheme="majorHAnsi" w:cstheme="majorBidi"/>
                  <w:smallCaps/>
                  <w:spacing w:val="20"/>
                  <w:sz w:val="32"/>
                  <w:szCs w:val="32"/>
                </w:rPr>
                <w:t>Institutional Strategic Master Plan 20</w:t>
              </w:r>
              <w:r>
                <w:rPr>
                  <w:rFonts w:asciiTheme="majorHAnsi" w:eastAsiaTheme="majorEastAsia" w:hAnsiTheme="majorHAnsi" w:cstheme="majorBidi"/>
                  <w:smallCaps/>
                  <w:spacing w:val="20"/>
                  <w:sz w:val="32"/>
                  <w:szCs w:val="32"/>
                </w:rPr>
                <w:t>14-</w:t>
              </w:r>
              <w:r w:rsidRPr="002968E8">
                <w:rPr>
                  <w:rFonts w:asciiTheme="majorHAnsi" w:eastAsiaTheme="majorEastAsia" w:hAnsiTheme="majorHAnsi" w:cstheme="majorBidi"/>
                  <w:smallCaps/>
                  <w:spacing w:val="20"/>
                  <w:sz w:val="32"/>
                  <w:szCs w:val="32"/>
                </w:rPr>
                <w:t>20</w:t>
              </w:r>
              <w:r>
                <w:rPr>
                  <w:rFonts w:asciiTheme="majorHAnsi" w:eastAsiaTheme="majorEastAsia" w:hAnsiTheme="majorHAnsi" w:cstheme="majorBidi"/>
                  <w:smallCaps/>
                  <w:spacing w:val="20"/>
                  <w:sz w:val="32"/>
                  <w:szCs w:val="32"/>
                </w:rPr>
                <w:t>20</w:t>
              </w:r>
              <w:r w:rsidRPr="002968E8">
                <w:rPr>
                  <w:rFonts w:asciiTheme="majorHAnsi" w:eastAsiaTheme="majorEastAsia" w:hAnsiTheme="majorHAnsi" w:cstheme="majorBidi"/>
                  <w:smallCaps/>
                  <w:spacing w:val="20"/>
                  <w:sz w:val="32"/>
                  <w:szCs w:val="32"/>
                </w:rPr>
                <w:t xml:space="preserve">               Goal#</w:t>
              </w:r>
              <w:r w:rsidR="007B1F6E">
                <w:rPr>
                  <w:rFonts w:asciiTheme="majorHAnsi" w:eastAsiaTheme="majorEastAsia" w:hAnsiTheme="majorHAnsi" w:cstheme="majorBidi"/>
                  <w:smallCaps/>
                  <w:spacing w:val="20"/>
                  <w:sz w:val="32"/>
                  <w:szCs w:val="32"/>
                </w:rPr>
                <w:t>2</w:t>
              </w:r>
              <w:r w:rsidRPr="002968E8">
                <w:rPr>
                  <w:rFonts w:asciiTheme="majorHAnsi" w:eastAsiaTheme="majorEastAsia" w:hAnsiTheme="majorHAnsi" w:cstheme="majorBidi"/>
                  <w:smallCaps/>
                  <w:spacing w:val="20"/>
                  <w:sz w:val="32"/>
                  <w:szCs w:val="32"/>
                </w:rPr>
                <w:t xml:space="preserve"> ~ </w:t>
              </w:r>
              <w:r w:rsidR="007B1F6E">
                <w:rPr>
                  <w:rFonts w:asciiTheme="majorHAnsi" w:eastAsiaTheme="majorEastAsia" w:hAnsiTheme="majorHAnsi" w:cstheme="majorBidi"/>
                  <w:smallCaps/>
                  <w:spacing w:val="20"/>
                  <w:sz w:val="32"/>
                  <w:szCs w:val="32"/>
                </w:rPr>
                <w:t>Conducive Learning Environment</w:t>
              </w:r>
            </w:p>
          </w:tc>
        </w:sdtContent>
      </w:sdt>
      <w:tc>
        <w:tcPr>
          <w:tcW w:w="2545" w:type="dxa"/>
          <w:vMerge w:val="restart"/>
          <w:vAlign w:val="center"/>
        </w:tcPr>
        <w:p w:rsidR="00B70B62" w:rsidRPr="002968E8" w:rsidRDefault="00B70B62" w:rsidP="002325F9">
          <w:pPr>
            <w:pStyle w:val="Header"/>
            <w:jc w:val="center"/>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As of October 2014</w:t>
          </w:r>
        </w:p>
      </w:tc>
    </w:tr>
    <w:tr w:rsidR="00B70B62">
      <w:trPr>
        <w:trHeight w:val="288"/>
      </w:trPr>
      <w:tc>
        <w:tcPr>
          <w:tcW w:w="8485" w:type="dxa"/>
        </w:tcPr>
        <w:p w:rsidR="00B70B62" w:rsidRPr="002968E8" w:rsidRDefault="007B1F6E" w:rsidP="007B1F6E">
          <w:pPr>
            <w:pStyle w:val="Header"/>
            <w:jc w:val="right"/>
            <w:rPr>
              <w:rFonts w:asciiTheme="majorHAnsi" w:eastAsiaTheme="majorEastAsia" w:hAnsiTheme="majorHAnsi" w:cstheme="majorBidi"/>
              <w:smallCaps/>
              <w:spacing w:val="20"/>
              <w:sz w:val="32"/>
              <w:szCs w:val="32"/>
            </w:rPr>
          </w:pPr>
          <w:r>
            <w:rPr>
              <w:b/>
              <w:sz w:val="24"/>
              <w:szCs w:val="24"/>
            </w:rPr>
            <w:t>Transform the campus into a facility conducive for learning and teaching with a genuine sense of family spirit and dialogue among employees who are committed to student access and student success</w:t>
          </w:r>
          <w:r w:rsidR="00B70B62" w:rsidRPr="00613339">
            <w:rPr>
              <w:b/>
              <w:sz w:val="24"/>
              <w:szCs w:val="24"/>
            </w:rPr>
            <w:t>.</w:t>
          </w:r>
        </w:p>
      </w:tc>
      <w:tc>
        <w:tcPr>
          <w:tcW w:w="2545" w:type="dxa"/>
          <w:vMerge/>
          <w:vAlign w:val="center"/>
        </w:tcPr>
        <w:p w:rsidR="00B70B62" w:rsidRDefault="00B70B62" w:rsidP="002325F9">
          <w:pPr>
            <w:pStyle w:val="Header"/>
            <w:jc w:val="center"/>
            <w:rPr>
              <w:rFonts w:asciiTheme="majorHAnsi" w:eastAsiaTheme="majorEastAsia" w:hAnsiTheme="majorHAnsi" w:cstheme="majorBidi"/>
              <w:b/>
              <w:bCs/>
              <w:color w:val="4F81BD" w:themeColor="accent1"/>
            </w:rPr>
          </w:pPr>
        </w:p>
      </w:tc>
    </w:tr>
  </w:tbl>
  <w:p w:rsidR="0021186E" w:rsidRDefault="0021186E" w:rsidP="0021186E">
    <w:pPr>
      <w:spacing w:after="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1AE5"/>
    <w:multiLevelType w:val="hybridMultilevel"/>
    <w:tmpl w:val="8788D656"/>
    <w:lvl w:ilvl="0" w:tplc="23ACF2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3363AE"/>
    <w:multiLevelType w:val="hybridMultilevel"/>
    <w:tmpl w:val="77627306"/>
    <w:lvl w:ilvl="0" w:tplc="0AD84C72">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F4FC4"/>
    <w:multiLevelType w:val="hybridMultilevel"/>
    <w:tmpl w:val="69405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32FE1"/>
    <w:multiLevelType w:val="hybridMultilevel"/>
    <w:tmpl w:val="8788D656"/>
    <w:lvl w:ilvl="0" w:tplc="23ACF2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F5425A"/>
    <w:multiLevelType w:val="hybridMultilevel"/>
    <w:tmpl w:val="3B906154"/>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B73D4"/>
    <w:multiLevelType w:val="hybridMultilevel"/>
    <w:tmpl w:val="2A30F9A6"/>
    <w:lvl w:ilvl="0" w:tplc="1E9475AE">
      <w:start w:val="1"/>
      <w:numFmt w:val="upp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rsids>
    <w:rsidRoot w:val="004B42E6"/>
    <w:rsid w:val="00003771"/>
    <w:rsid w:val="00006EF1"/>
    <w:rsid w:val="00010082"/>
    <w:rsid w:val="00012F81"/>
    <w:rsid w:val="00013764"/>
    <w:rsid w:val="0001510D"/>
    <w:rsid w:val="00043E49"/>
    <w:rsid w:val="000442F8"/>
    <w:rsid w:val="00044B9F"/>
    <w:rsid w:val="00050EDE"/>
    <w:rsid w:val="00055FA9"/>
    <w:rsid w:val="000653D7"/>
    <w:rsid w:val="00080B8D"/>
    <w:rsid w:val="00087AD8"/>
    <w:rsid w:val="000956CF"/>
    <w:rsid w:val="00096B42"/>
    <w:rsid w:val="000A2DFB"/>
    <w:rsid w:val="000B19E1"/>
    <w:rsid w:val="000B4314"/>
    <w:rsid w:val="000B45C2"/>
    <w:rsid w:val="000B7ACD"/>
    <w:rsid w:val="000C2296"/>
    <w:rsid w:val="000D6442"/>
    <w:rsid w:val="000F42CA"/>
    <w:rsid w:val="001060DF"/>
    <w:rsid w:val="00113D42"/>
    <w:rsid w:val="001158F0"/>
    <w:rsid w:val="00144762"/>
    <w:rsid w:val="00151819"/>
    <w:rsid w:val="0015191B"/>
    <w:rsid w:val="00153D2B"/>
    <w:rsid w:val="00177635"/>
    <w:rsid w:val="00181451"/>
    <w:rsid w:val="001837B2"/>
    <w:rsid w:val="00194A12"/>
    <w:rsid w:val="001A13F7"/>
    <w:rsid w:val="001B11CC"/>
    <w:rsid w:val="001B732D"/>
    <w:rsid w:val="001D0707"/>
    <w:rsid w:val="001D0BE2"/>
    <w:rsid w:val="001D16CF"/>
    <w:rsid w:val="001D23CF"/>
    <w:rsid w:val="001D26FE"/>
    <w:rsid w:val="001D397C"/>
    <w:rsid w:val="001D6EB4"/>
    <w:rsid w:val="001E0496"/>
    <w:rsid w:val="001E7B40"/>
    <w:rsid w:val="001F1106"/>
    <w:rsid w:val="001F34FB"/>
    <w:rsid w:val="001F5E02"/>
    <w:rsid w:val="001F5E42"/>
    <w:rsid w:val="00205395"/>
    <w:rsid w:val="0021186E"/>
    <w:rsid w:val="00213125"/>
    <w:rsid w:val="00215CEC"/>
    <w:rsid w:val="0023143A"/>
    <w:rsid w:val="002325F9"/>
    <w:rsid w:val="0023323E"/>
    <w:rsid w:val="00235B28"/>
    <w:rsid w:val="00250438"/>
    <w:rsid w:val="00253C50"/>
    <w:rsid w:val="002578F0"/>
    <w:rsid w:val="0026096F"/>
    <w:rsid w:val="0027064B"/>
    <w:rsid w:val="00270731"/>
    <w:rsid w:val="0027408A"/>
    <w:rsid w:val="00281F60"/>
    <w:rsid w:val="00282FFD"/>
    <w:rsid w:val="00290694"/>
    <w:rsid w:val="00293C9C"/>
    <w:rsid w:val="00293D89"/>
    <w:rsid w:val="002968E8"/>
    <w:rsid w:val="00296AE5"/>
    <w:rsid w:val="00297DD0"/>
    <w:rsid w:val="00297FDB"/>
    <w:rsid w:val="002A0C47"/>
    <w:rsid w:val="002A5071"/>
    <w:rsid w:val="002A5E15"/>
    <w:rsid w:val="002B2BB3"/>
    <w:rsid w:val="002B38C8"/>
    <w:rsid w:val="002B65B9"/>
    <w:rsid w:val="002C0175"/>
    <w:rsid w:val="002C1EE3"/>
    <w:rsid w:val="002C4803"/>
    <w:rsid w:val="002D1144"/>
    <w:rsid w:val="002D2BD9"/>
    <w:rsid w:val="002D6CAC"/>
    <w:rsid w:val="002E5E7C"/>
    <w:rsid w:val="002E6CCA"/>
    <w:rsid w:val="00305CAB"/>
    <w:rsid w:val="003074FA"/>
    <w:rsid w:val="00321790"/>
    <w:rsid w:val="003343EC"/>
    <w:rsid w:val="00336E3B"/>
    <w:rsid w:val="00337523"/>
    <w:rsid w:val="00340083"/>
    <w:rsid w:val="00342810"/>
    <w:rsid w:val="00351D6D"/>
    <w:rsid w:val="00352137"/>
    <w:rsid w:val="003521B1"/>
    <w:rsid w:val="00357C06"/>
    <w:rsid w:val="003607EE"/>
    <w:rsid w:val="00360A15"/>
    <w:rsid w:val="00377136"/>
    <w:rsid w:val="003777B0"/>
    <w:rsid w:val="00383174"/>
    <w:rsid w:val="00387AD9"/>
    <w:rsid w:val="003912AC"/>
    <w:rsid w:val="00392260"/>
    <w:rsid w:val="003956D9"/>
    <w:rsid w:val="003A0957"/>
    <w:rsid w:val="003A49A1"/>
    <w:rsid w:val="003A4CF5"/>
    <w:rsid w:val="003A5F7F"/>
    <w:rsid w:val="003B004E"/>
    <w:rsid w:val="003B3986"/>
    <w:rsid w:val="003B46EF"/>
    <w:rsid w:val="003C1BD0"/>
    <w:rsid w:val="003C50B2"/>
    <w:rsid w:val="003D3AAF"/>
    <w:rsid w:val="003D5EAB"/>
    <w:rsid w:val="003D6155"/>
    <w:rsid w:val="003E68FD"/>
    <w:rsid w:val="003E7321"/>
    <w:rsid w:val="003F1249"/>
    <w:rsid w:val="003F1FC4"/>
    <w:rsid w:val="003F39DA"/>
    <w:rsid w:val="003F61A4"/>
    <w:rsid w:val="003F6983"/>
    <w:rsid w:val="00400E9F"/>
    <w:rsid w:val="00402A83"/>
    <w:rsid w:val="004048BC"/>
    <w:rsid w:val="0041037E"/>
    <w:rsid w:val="004127BA"/>
    <w:rsid w:val="0041602E"/>
    <w:rsid w:val="00426F5F"/>
    <w:rsid w:val="004440AE"/>
    <w:rsid w:val="00451DB2"/>
    <w:rsid w:val="004553A5"/>
    <w:rsid w:val="00462FB9"/>
    <w:rsid w:val="004635B4"/>
    <w:rsid w:val="0046681A"/>
    <w:rsid w:val="004713B3"/>
    <w:rsid w:val="004749D3"/>
    <w:rsid w:val="00482A79"/>
    <w:rsid w:val="00484BD3"/>
    <w:rsid w:val="00484C03"/>
    <w:rsid w:val="00486CBA"/>
    <w:rsid w:val="00494854"/>
    <w:rsid w:val="00496D6F"/>
    <w:rsid w:val="004A28CE"/>
    <w:rsid w:val="004A5E56"/>
    <w:rsid w:val="004A74B6"/>
    <w:rsid w:val="004B42E6"/>
    <w:rsid w:val="004B5498"/>
    <w:rsid w:val="004B7465"/>
    <w:rsid w:val="004C0F6C"/>
    <w:rsid w:val="004E2BAA"/>
    <w:rsid w:val="004E4F71"/>
    <w:rsid w:val="004F5A8A"/>
    <w:rsid w:val="00514418"/>
    <w:rsid w:val="00516231"/>
    <w:rsid w:val="00516475"/>
    <w:rsid w:val="005164C4"/>
    <w:rsid w:val="00536A17"/>
    <w:rsid w:val="005431D7"/>
    <w:rsid w:val="00543ACD"/>
    <w:rsid w:val="00543EBA"/>
    <w:rsid w:val="005459AB"/>
    <w:rsid w:val="005555AB"/>
    <w:rsid w:val="00561DB9"/>
    <w:rsid w:val="00563505"/>
    <w:rsid w:val="00566590"/>
    <w:rsid w:val="005679C8"/>
    <w:rsid w:val="00570A4C"/>
    <w:rsid w:val="00574C29"/>
    <w:rsid w:val="00576E29"/>
    <w:rsid w:val="00577DED"/>
    <w:rsid w:val="005868E6"/>
    <w:rsid w:val="00590407"/>
    <w:rsid w:val="005962EC"/>
    <w:rsid w:val="005A110A"/>
    <w:rsid w:val="005A2343"/>
    <w:rsid w:val="005A2702"/>
    <w:rsid w:val="005A3631"/>
    <w:rsid w:val="005A3F66"/>
    <w:rsid w:val="005A7211"/>
    <w:rsid w:val="005A7EB7"/>
    <w:rsid w:val="005B2CBD"/>
    <w:rsid w:val="005B2F9E"/>
    <w:rsid w:val="005B3A08"/>
    <w:rsid w:val="005B4EAB"/>
    <w:rsid w:val="005C030C"/>
    <w:rsid w:val="005C2921"/>
    <w:rsid w:val="005C5657"/>
    <w:rsid w:val="005D49BF"/>
    <w:rsid w:val="005D7D13"/>
    <w:rsid w:val="005E2531"/>
    <w:rsid w:val="005F3EDB"/>
    <w:rsid w:val="006005A4"/>
    <w:rsid w:val="00603C48"/>
    <w:rsid w:val="00611E9A"/>
    <w:rsid w:val="006120D3"/>
    <w:rsid w:val="00612B11"/>
    <w:rsid w:val="00613339"/>
    <w:rsid w:val="00624C33"/>
    <w:rsid w:val="00630D36"/>
    <w:rsid w:val="00630FDD"/>
    <w:rsid w:val="0063469F"/>
    <w:rsid w:val="00635E58"/>
    <w:rsid w:val="00637DAE"/>
    <w:rsid w:val="00647FDD"/>
    <w:rsid w:val="0065609B"/>
    <w:rsid w:val="00670D23"/>
    <w:rsid w:val="00670E4F"/>
    <w:rsid w:val="00672E11"/>
    <w:rsid w:val="00676AF5"/>
    <w:rsid w:val="006840D0"/>
    <w:rsid w:val="00692639"/>
    <w:rsid w:val="00694358"/>
    <w:rsid w:val="0069675D"/>
    <w:rsid w:val="006A74D1"/>
    <w:rsid w:val="006B156B"/>
    <w:rsid w:val="006B2F08"/>
    <w:rsid w:val="006C0DC1"/>
    <w:rsid w:val="006C239F"/>
    <w:rsid w:val="006C5481"/>
    <w:rsid w:val="006D7CEB"/>
    <w:rsid w:val="006E01B7"/>
    <w:rsid w:val="006E0971"/>
    <w:rsid w:val="006E2673"/>
    <w:rsid w:val="006F3BF1"/>
    <w:rsid w:val="006F4E06"/>
    <w:rsid w:val="006F5D6B"/>
    <w:rsid w:val="006F697E"/>
    <w:rsid w:val="006F73E8"/>
    <w:rsid w:val="007000D8"/>
    <w:rsid w:val="00702BAB"/>
    <w:rsid w:val="00707CDC"/>
    <w:rsid w:val="00710C09"/>
    <w:rsid w:val="00711F76"/>
    <w:rsid w:val="007134FB"/>
    <w:rsid w:val="00720958"/>
    <w:rsid w:val="00721526"/>
    <w:rsid w:val="00722BDF"/>
    <w:rsid w:val="00732B0A"/>
    <w:rsid w:val="00733C01"/>
    <w:rsid w:val="007411AF"/>
    <w:rsid w:val="00741BF6"/>
    <w:rsid w:val="00742662"/>
    <w:rsid w:val="00763789"/>
    <w:rsid w:val="00764FA7"/>
    <w:rsid w:val="00766D27"/>
    <w:rsid w:val="0078327F"/>
    <w:rsid w:val="007B1F6E"/>
    <w:rsid w:val="007B78D5"/>
    <w:rsid w:val="007C6391"/>
    <w:rsid w:val="007C6B76"/>
    <w:rsid w:val="007D3477"/>
    <w:rsid w:val="007D47BD"/>
    <w:rsid w:val="007D7EF2"/>
    <w:rsid w:val="007E3EAF"/>
    <w:rsid w:val="007E4928"/>
    <w:rsid w:val="007E50C9"/>
    <w:rsid w:val="007F2DBB"/>
    <w:rsid w:val="007F44DB"/>
    <w:rsid w:val="007F75CF"/>
    <w:rsid w:val="007F7C39"/>
    <w:rsid w:val="008054D9"/>
    <w:rsid w:val="00806A32"/>
    <w:rsid w:val="00807BAD"/>
    <w:rsid w:val="0081056F"/>
    <w:rsid w:val="008119D0"/>
    <w:rsid w:val="008144F6"/>
    <w:rsid w:val="00817DBB"/>
    <w:rsid w:val="0082209F"/>
    <w:rsid w:val="00822E63"/>
    <w:rsid w:val="008244B1"/>
    <w:rsid w:val="00827161"/>
    <w:rsid w:val="00832695"/>
    <w:rsid w:val="00843DD2"/>
    <w:rsid w:val="00847248"/>
    <w:rsid w:val="00850429"/>
    <w:rsid w:val="0086069E"/>
    <w:rsid w:val="00861363"/>
    <w:rsid w:val="00863BA8"/>
    <w:rsid w:val="008706F3"/>
    <w:rsid w:val="00875EED"/>
    <w:rsid w:val="00877A4A"/>
    <w:rsid w:val="00880E32"/>
    <w:rsid w:val="00884F30"/>
    <w:rsid w:val="008902C0"/>
    <w:rsid w:val="00897BDC"/>
    <w:rsid w:val="008A0EDE"/>
    <w:rsid w:val="008B5369"/>
    <w:rsid w:val="008C3D31"/>
    <w:rsid w:val="008D26DD"/>
    <w:rsid w:val="008F7D31"/>
    <w:rsid w:val="0090073F"/>
    <w:rsid w:val="00903A1A"/>
    <w:rsid w:val="00922150"/>
    <w:rsid w:val="0092414E"/>
    <w:rsid w:val="00941AD3"/>
    <w:rsid w:val="00947D1C"/>
    <w:rsid w:val="00951927"/>
    <w:rsid w:val="009532E5"/>
    <w:rsid w:val="00960084"/>
    <w:rsid w:val="009638DF"/>
    <w:rsid w:val="0096698F"/>
    <w:rsid w:val="0097298B"/>
    <w:rsid w:val="00974C33"/>
    <w:rsid w:val="00981AA7"/>
    <w:rsid w:val="00984BF4"/>
    <w:rsid w:val="00991CFB"/>
    <w:rsid w:val="009946D6"/>
    <w:rsid w:val="00997EF4"/>
    <w:rsid w:val="009A41DA"/>
    <w:rsid w:val="009A4931"/>
    <w:rsid w:val="009C027C"/>
    <w:rsid w:val="009C083E"/>
    <w:rsid w:val="009C7314"/>
    <w:rsid w:val="009D011E"/>
    <w:rsid w:val="009D0170"/>
    <w:rsid w:val="009D0725"/>
    <w:rsid w:val="009D3AE9"/>
    <w:rsid w:val="009D549D"/>
    <w:rsid w:val="009E2B94"/>
    <w:rsid w:val="009E52EC"/>
    <w:rsid w:val="009E7F01"/>
    <w:rsid w:val="009F1A68"/>
    <w:rsid w:val="00A00084"/>
    <w:rsid w:val="00A0008F"/>
    <w:rsid w:val="00A050F1"/>
    <w:rsid w:val="00A12B07"/>
    <w:rsid w:val="00A14ACB"/>
    <w:rsid w:val="00A1613E"/>
    <w:rsid w:val="00A20EAC"/>
    <w:rsid w:val="00A234A2"/>
    <w:rsid w:val="00A30996"/>
    <w:rsid w:val="00A320D8"/>
    <w:rsid w:val="00A32111"/>
    <w:rsid w:val="00A34549"/>
    <w:rsid w:val="00A42630"/>
    <w:rsid w:val="00A46490"/>
    <w:rsid w:val="00A505BD"/>
    <w:rsid w:val="00A55806"/>
    <w:rsid w:val="00A571B7"/>
    <w:rsid w:val="00A57BEF"/>
    <w:rsid w:val="00A70D17"/>
    <w:rsid w:val="00A816B3"/>
    <w:rsid w:val="00A91097"/>
    <w:rsid w:val="00AA12FF"/>
    <w:rsid w:val="00AA1FDD"/>
    <w:rsid w:val="00AA303B"/>
    <w:rsid w:val="00AA62B5"/>
    <w:rsid w:val="00AA6331"/>
    <w:rsid w:val="00AB42B5"/>
    <w:rsid w:val="00AB679F"/>
    <w:rsid w:val="00AE158F"/>
    <w:rsid w:val="00AE3265"/>
    <w:rsid w:val="00AE33DC"/>
    <w:rsid w:val="00AE7D47"/>
    <w:rsid w:val="00AE7EBD"/>
    <w:rsid w:val="00AF4821"/>
    <w:rsid w:val="00B0632E"/>
    <w:rsid w:val="00B13DA2"/>
    <w:rsid w:val="00B14639"/>
    <w:rsid w:val="00B14C45"/>
    <w:rsid w:val="00B15527"/>
    <w:rsid w:val="00B2108B"/>
    <w:rsid w:val="00B27AB4"/>
    <w:rsid w:val="00B30257"/>
    <w:rsid w:val="00B31DF3"/>
    <w:rsid w:val="00B3584A"/>
    <w:rsid w:val="00B37563"/>
    <w:rsid w:val="00B41680"/>
    <w:rsid w:val="00B43FA6"/>
    <w:rsid w:val="00B5402B"/>
    <w:rsid w:val="00B609FD"/>
    <w:rsid w:val="00B62A15"/>
    <w:rsid w:val="00B70B62"/>
    <w:rsid w:val="00B70E62"/>
    <w:rsid w:val="00B73EC8"/>
    <w:rsid w:val="00B80533"/>
    <w:rsid w:val="00B857B4"/>
    <w:rsid w:val="00B90C91"/>
    <w:rsid w:val="00B92256"/>
    <w:rsid w:val="00B96215"/>
    <w:rsid w:val="00BA13A0"/>
    <w:rsid w:val="00BA72B6"/>
    <w:rsid w:val="00BB53EC"/>
    <w:rsid w:val="00BB7463"/>
    <w:rsid w:val="00BC04A9"/>
    <w:rsid w:val="00BC0D52"/>
    <w:rsid w:val="00BD2856"/>
    <w:rsid w:val="00BD3938"/>
    <w:rsid w:val="00BD4D2F"/>
    <w:rsid w:val="00BD5D39"/>
    <w:rsid w:val="00BE06B0"/>
    <w:rsid w:val="00BE2220"/>
    <w:rsid w:val="00BF0C09"/>
    <w:rsid w:val="00BF6808"/>
    <w:rsid w:val="00C00BB0"/>
    <w:rsid w:val="00C11EF3"/>
    <w:rsid w:val="00C138BC"/>
    <w:rsid w:val="00C20C2C"/>
    <w:rsid w:val="00C301EE"/>
    <w:rsid w:val="00C33038"/>
    <w:rsid w:val="00C36B6C"/>
    <w:rsid w:val="00C43189"/>
    <w:rsid w:val="00C56F46"/>
    <w:rsid w:val="00C70BF5"/>
    <w:rsid w:val="00C8093C"/>
    <w:rsid w:val="00C85A3E"/>
    <w:rsid w:val="00C92AF5"/>
    <w:rsid w:val="00CA32A6"/>
    <w:rsid w:val="00CB175B"/>
    <w:rsid w:val="00CC23AA"/>
    <w:rsid w:val="00CC39C1"/>
    <w:rsid w:val="00CC6BBF"/>
    <w:rsid w:val="00CD0750"/>
    <w:rsid w:val="00CD087E"/>
    <w:rsid w:val="00CD08A9"/>
    <w:rsid w:val="00CD1F26"/>
    <w:rsid w:val="00CD24A6"/>
    <w:rsid w:val="00CE71C8"/>
    <w:rsid w:val="00CE78B7"/>
    <w:rsid w:val="00CF2D2D"/>
    <w:rsid w:val="00D00CC8"/>
    <w:rsid w:val="00D0123D"/>
    <w:rsid w:val="00D01566"/>
    <w:rsid w:val="00D05877"/>
    <w:rsid w:val="00D069F2"/>
    <w:rsid w:val="00D07E5D"/>
    <w:rsid w:val="00D1545A"/>
    <w:rsid w:val="00D24E94"/>
    <w:rsid w:val="00D25CBF"/>
    <w:rsid w:val="00D278D3"/>
    <w:rsid w:val="00D30C9A"/>
    <w:rsid w:val="00D322E3"/>
    <w:rsid w:val="00D33C42"/>
    <w:rsid w:val="00D35498"/>
    <w:rsid w:val="00D355B1"/>
    <w:rsid w:val="00D35697"/>
    <w:rsid w:val="00D35DA9"/>
    <w:rsid w:val="00D46BCA"/>
    <w:rsid w:val="00D5435F"/>
    <w:rsid w:val="00D546E5"/>
    <w:rsid w:val="00D56A75"/>
    <w:rsid w:val="00D748E8"/>
    <w:rsid w:val="00D76A7C"/>
    <w:rsid w:val="00D8311C"/>
    <w:rsid w:val="00D9244A"/>
    <w:rsid w:val="00D93D28"/>
    <w:rsid w:val="00D94B6E"/>
    <w:rsid w:val="00DC035B"/>
    <w:rsid w:val="00DC06BB"/>
    <w:rsid w:val="00DC0DB8"/>
    <w:rsid w:val="00DD0A96"/>
    <w:rsid w:val="00DD6B10"/>
    <w:rsid w:val="00DE3142"/>
    <w:rsid w:val="00DF45C2"/>
    <w:rsid w:val="00DF5746"/>
    <w:rsid w:val="00DF6B0A"/>
    <w:rsid w:val="00E00418"/>
    <w:rsid w:val="00E01184"/>
    <w:rsid w:val="00E0119D"/>
    <w:rsid w:val="00E01C88"/>
    <w:rsid w:val="00E02203"/>
    <w:rsid w:val="00E03F5A"/>
    <w:rsid w:val="00E067BD"/>
    <w:rsid w:val="00E16F2F"/>
    <w:rsid w:val="00E20574"/>
    <w:rsid w:val="00E22E45"/>
    <w:rsid w:val="00E3157A"/>
    <w:rsid w:val="00E54CB5"/>
    <w:rsid w:val="00E54D57"/>
    <w:rsid w:val="00E54FEC"/>
    <w:rsid w:val="00E561FC"/>
    <w:rsid w:val="00E62F16"/>
    <w:rsid w:val="00E64628"/>
    <w:rsid w:val="00E761B0"/>
    <w:rsid w:val="00E80D83"/>
    <w:rsid w:val="00E816FD"/>
    <w:rsid w:val="00E85364"/>
    <w:rsid w:val="00E91059"/>
    <w:rsid w:val="00E93C09"/>
    <w:rsid w:val="00E95989"/>
    <w:rsid w:val="00E96015"/>
    <w:rsid w:val="00EA45CF"/>
    <w:rsid w:val="00EC7788"/>
    <w:rsid w:val="00ED7DB9"/>
    <w:rsid w:val="00EE1E5E"/>
    <w:rsid w:val="00EE62F5"/>
    <w:rsid w:val="00EF6FBB"/>
    <w:rsid w:val="00EF7EBA"/>
    <w:rsid w:val="00F152E2"/>
    <w:rsid w:val="00F27B15"/>
    <w:rsid w:val="00F30F1B"/>
    <w:rsid w:val="00F4022D"/>
    <w:rsid w:val="00F44C8E"/>
    <w:rsid w:val="00F44DE8"/>
    <w:rsid w:val="00F475EE"/>
    <w:rsid w:val="00F50CAC"/>
    <w:rsid w:val="00F60BBD"/>
    <w:rsid w:val="00F673BA"/>
    <w:rsid w:val="00F81696"/>
    <w:rsid w:val="00F825EC"/>
    <w:rsid w:val="00F82E76"/>
    <w:rsid w:val="00F83B67"/>
    <w:rsid w:val="00F8763D"/>
    <w:rsid w:val="00F95E46"/>
    <w:rsid w:val="00FB47F5"/>
    <w:rsid w:val="00FC187A"/>
    <w:rsid w:val="00FC2E3B"/>
    <w:rsid w:val="00FC499A"/>
    <w:rsid w:val="00FC6569"/>
    <w:rsid w:val="00FC7C55"/>
    <w:rsid w:val="00FC7DB9"/>
    <w:rsid w:val="00FD14A7"/>
    <w:rsid w:val="00FD6305"/>
    <w:rsid w:val="00FE2A31"/>
    <w:rsid w:val="00FE4C2F"/>
    <w:rsid w:val="00FE5263"/>
    <w:rsid w:val="00FF2C30"/>
    <w:rsid w:val="00FF357B"/>
    <w:rsid w:val="00FF7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6E"/>
  </w:style>
  <w:style w:type="paragraph" w:styleId="Footer">
    <w:name w:val="footer"/>
    <w:basedOn w:val="Normal"/>
    <w:link w:val="FooterChar"/>
    <w:uiPriority w:val="99"/>
    <w:unhideWhenUsed/>
    <w:rsid w:val="00211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6E"/>
  </w:style>
  <w:style w:type="paragraph" w:styleId="BalloonText">
    <w:name w:val="Balloon Text"/>
    <w:basedOn w:val="Normal"/>
    <w:link w:val="BalloonTextChar"/>
    <w:uiPriority w:val="99"/>
    <w:semiHidden/>
    <w:unhideWhenUsed/>
    <w:rsid w:val="0021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6E"/>
    <w:rPr>
      <w:rFonts w:ascii="Tahoma" w:hAnsi="Tahoma" w:cs="Tahoma"/>
      <w:sz w:val="16"/>
      <w:szCs w:val="16"/>
    </w:rPr>
  </w:style>
  <w:style w:type="paragraph" w:styleId="ListParagraph">
    <w:name w:val="List Paragraph"/>
    <w:basedOn w:val="Normal"/>
    <w:uiPriority w:val="34"/>
    <w:qFormat/>
    <w:rsid w:val="00BB7463"/>
    <w:pPr>
      <w:ind w:left="720"/>
      <w:contextualSpacing/>
    </w:pPr>
  </w:style>
  <w:style w:type="character" w:styleId="Hyperlink">
    <w:name w:val="Hyperlink"/>
    <w:basedOn w:val="DefaultParagraphFont"/>
    <w:uiPriority w:val="99"/>
    <w:unhideWhenUsed/>
    <w:rsid w:val="00EE1E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6E"/>
  </w:style>
  <w:style w:type="paragraph" w:styleId="Footer">
    <w:name w:val="footer"/>
    <w:basedOn w:val="Normal"/>
    <w:link w:val="FooterChar"/>
    <w:uiPriority w:val="99"/>
    <w:unhideWhenUsed/>
    <w:rsid w:val="00211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6E"/>
  </w:style>
  <w:style w:type="paragraph" w:styleId="BalloonText">
    <w:name w:val="Balloon Text"/>
    <w:basedOn w:val="Normal"/>
    <w:link w:val="BalloonTextChar"/>
    <w:uiPriority w:val="99"/>
    <w:semiHidden/>
    <w:unhideWhenUsed/>
    <w:rsid w:val="0021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6E"/>
    <w:rPr>
      <w:rFonts w:ascii="Tahoma" w:hAnsi="Tahoma" w:cs="Tahoma"/>
      <w:sz w:val="16"/>
      <w:szCs w:val="16"/>
    </w:rPr>
  </w:style>
  <w:style w:type="paragraph" w:styleId="ListParagraph">
    <w:name w:val="List Paragraph"/>
    <w:basedOn w:val="Normal"/>
    <w:uiPriority w:val="34"/>
    <w:qFormat/>
    <w:rsid w:val="00BB7463"/>
    <w:pPr>
      <w:ind w:left="720"/>
      <w:contextualSpacing/>
    </w:pPr>
  </w:style>
  <w:style w:type="character" w:styleId="Hyperlink">
    <w:name w:val="Hyperlink"/>
    <w:basedOn w:val="DefaultParagraphFont"/>
    <w:uiPriority w:val="99"/>
    <w:unhideWhenUsed/>
    <w:rsid w:val="00EE1E5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0955527">
      <w:bodyDiv w:val="1"/>
      <w:marLeft w:val="0"/>
      <w:marRight w:val="0"/>
      <w:marTop w:val="0"/>
      <w:marBottom w:val="0"/>
      <w:divBdr>
        <w:top w:val="none" w:sz="0" w:space="0" w:color="auto"/>
        <w:left w:val="none" w:sz="0" w:space="0" w:color="auto"/>
        <w:bottom w:val="none" w:sz="0" w:space="0" w:color="auto"/>
        <w:right w:val="none" w:sz="0" w:space="0" w:color="auto"/>
      </w:divBdr>
    </w:div>
    <w:div w:id="155145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82296E2C214DD9BCFA8340DB931DA0"/>
        <w:category>
          <w:name w:val="General"/>
          <w:gallery w:val="placeholder"/>
        </w:category>
        <w:types>
          <w:type w:val="bbPlcHdr"/>
        </w:types>
        <w:behaviors>
          <w:behavior w:val="content"/>
        </w:behaviors>
        <w:guid w:val="{AFE526B6-3238-4117-9917-CB76C016D6A8}"/>
      </w:docPartPr>
      <w:docPartBody>
        <w:p w:rsidR="00F92736" w:rsidRDefault="007676AE" w:rsidP="007676AE">
          <w:pPr>
            <w:pStyle w:val="2982296E2C214DD9BCFA8340DB931DA0"/>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395025"/>
    <w:rsid w:val="00055437"/>
    <w:rsid w:val="00057F16"/>
    <w:rsid w:val="00073ECE"/>
    <w:rsid w:val="000B51AC"/>
    <w:rsid w:val="0013668F"/>
    <w:rsid w:val="001704D1"/>
    <w:rsid w:val="00177FED"/>
    <w:rsid w:val="001959F6"/>
    <w:rsid w:val="001B6DB4"/>
    <w:rsid w:val="001F115C"/>
    <w:rsid w:val="00205441"/>
    <w:rsid w:val="002E7228"/>
    <w:rsid w:val="002F7334"/>
    <w:rsid w:val="003468F5"/>
    <w:rsid w:val="0037276F"/>
    <w:rsid w:val="00375AD3"/>
    <w:rsid w:val="00380ABC"/>
    <w:rsid w:val="00395025"/>
    <w:rsid w:val="00434652"/>
    <w:rsid w:val="004634A5"/>
    <w:rsid w:val="0057323E"/>
    <w:rsid w:val="00575102"/>
    <w:rsid w:val="005E3E2A"/>
    <w:rsid w:val="006955D2"/>
    <w:rsid w:val="006965F3"/>
    <w:rsid w:val="006C5A80"/>
    <w:rsid w:val="006C5D64"/>
    <w:rsid w:val="007638A2"/>
    <w:rsid w:val="007676AE"/>
    <w:rsid w:val="007B7FD3"/>
    <w:rsid w:val="00840B53"/>
    <w:rsid w:val="00844B56"/>
    <w:rsid w:val="008617D7"/>
    <w:rsid w:val="008A2970"/>
    <w:rsid w:val="008C598E"/>
    <w:rsid w:val="00992D2B"/>
    <w:rsid w:val="009B1129"/>
    <w:rsid w:val="009F2D8E"/>
    <w:rsid w:val="00A0350B"/>
    <w:rsid w:val="00A350B7"/>
    <w:rsid w:val="00A5795B"/>
    <w:rsid w:val="00A72438"/>
    <w:rsid w:val="00B508C3"/>
    <w:rsid w:val="00BC6E20"/>
    <w:rsid w:val="00BF7715"/>
    <w:rsid w:val="00C75C66"/>
    <w:rsid w:val="00C96517"/>
    <w:rsid w:val="00CA5B25"/>
    <w:rsid w:val="00CB7C3E"/>
    <w:rsid w:val="00D205BB"/>
    <w:rsid w:val="00DA7FAF"/>
    <w:rsid w:val="00DE19D2"/>
    <w:rsid w:val="00F07C77"/>
    <w:rsid w:val="00F237AD"/>
    <w:rsid w:val="00F57FBF"/>
    <w:rsid w:val="00F603CE"/>
    <w:rsid w:val="00F72FF6"/>
    <w:rsid w:val="00F92736"/>
    <w:rsid w:val="00FE6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9C028B1B83474696437AE542503D63">
    <w:name w:val="569C028B1B83474696437AE542503D63"/>
    <w:rsid w:val="00395025"/>
  </w:style>
  <w:style w:type="paragraph" w:customStyle="1" w:styleId="53DF16D4FE4F45918588988F123EF5B0">
    <w:name w:val="53DF16D4FE4F45918588988F123EF5B0"/>
    <w:rsid w:val="00395025"/>
  </w:style>
  <w:style w:type="paragraph" w:customStyle="1" w:styleId="2982296E2C214DD9BCFA8340DB931DA0">
    <w:name w:val="2982296E2C214DD9BCFA8340DB931DA0"/>
    <w:rsid w:val="007676A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877A6F-772B-4A8A-9710-609560E6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Institutional Strategic Master Plan 2014-2020               Goal#2 ~ Conducive Learning Environment</vt:lpstr>
    </vt:vector>
  </TitlesOfParts>
  <Company>Guam Community College</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Strategic Master Plan 2014-2020               Goal#2 ~ Conducive Learning Environment</dc:title>
  <dc:creator>Doris</dc:creator>
  <cp:lastModifiedBy>Assessment</cp:lastModifiedBy>
  <cp:revision>3</cp:revision>
  <cp:lastPrinted>2012-11-14T08:10:00Z</cp:lastPrinted>
  <dcterms:created xsi:type="dcterms:W3CDTF">2014-11-06T12:37:00Z</dcterms:created>
  <dcterms:modified xsi:type="dcterms:W3CDTF">2014-11-07T02:56:00Z</dcterms:modified>
</cp:coreProperties>
</file>