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253"/>
        <w:gridCol w:w="7547"/>
      </w:tblGrid>
      <w:tr w:rsidR="00AA62B5" w:rsidRPr="000B19E1" w:rsidTr="001446B2">
        <w:trPr>
          <w:trHeight w:hRule="exact" w:val="1440"/>
          <w:tblHeader/>
          <w:jc w:val="center"/>
        </w:trPr>
        <w:tc>
          <w:tcPr>
            <w:tcW w:w="2880" w:type="dxa"/>
            <w:tcBorders>
              <w:top w:val="single" w:sz="6" w:space="0" w:color="auto"/>
              <w:bottom w:val="single" w:sz="2" w:space="0" w:color="auto"/>
              <w:right w:val="single" w:sz="6" w:space="0" w:color="auto"/>
            </w:tcBorders>
            <w:shd w:val="clear" w:color="auto" w:fill="DBE5F1" w:themeFill="accent1" w:themeFillTint="33"/>
            <w:vAlign w:val="center"/>
          </w:tcPr>
          <w:p w:rsidR="00E20574" w:rsidRPr="00FC7DB9" w:rsidRDefault="00FC7DB9" w:rsidP="00010082">
            <w:pPr>
              <w:jc w:val="center"/>
              <w:rPr>
                <w:b/>
                <w:spacing w:val="100"/>
                <w:sz w:val="24"/>
                <w:szCs w:val="24"/>
              </w:rPr>
            </w:pPr>
            <w:r w:rsidRPr="00FC7DB9">
              <w:rPr>
                <w:b/>
                <w:spacing w:val="100"/>
                <w:sz w:val="24"/>
                <w:szCs w:val="24"/>
              </w:rPr>
              <w:t>TASK</w:t>
            </w:r>
            <w:r w:rsidR="008955C4">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E20574" w:rsidRPr="00722BDF" w:rsidRDefault="000250E3" w:rsidP="000250E3">
            <w:pPr>
              <w:rPr>
                <w:caps/>
                <w:sz w:val="24"/>
                <w:szCs w:val="24"/>
              </w:rPr>
            </w:pPr>
            <w:r>
              <w:rPr>
                <w:caps/>
                <w:sz w:val="24"/>
                <w:szCs w:val="24"/>
              </w:rPr>
              <w:t>to develop a marketing plan which helps to enhance GCC’s brand identity</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0B19E1" w:rsidRPr="000658F9" w:rsidRDefault="000B19E1" w:rsidP="000658F9">
            <w:pPr>
              <w:pStyle w:val="ListParagraph"/>
              <w:numPr>
                <w:ilvl w:val="0"/>
                <w:numId w:val="1"/>
              </w:numPr>
              <w:ind w:left="335" w:hanging="335"/>
              <w:rPr>
                <w:b/>
                <w:smallCaps/>
                <w:spacing w:val="20"/>
                <w:sz w:val="26"/>
                <w:szCs w:val="26"/>
              </w:rPr>
            </w:pPr>
            <w:r w:rsidRPr="000658F9">
              <w:rPr>
                <w:b/>
                <w:smallCaps/>
                <w:spacing w:val="20"/>
                <w:sz w:val="26"/>
                <w:szCs w:val="26"/>
              </w:rPr>
              <w:t>S</w:t>
            </w:r>
            <w:r w:rsidR="00FC7DB9" w:rsidRPr="000658F9">
              <w:rPr>
                <w:b/>
                <w:smallCaps/>
                <w:spacing w:val="20"/>
                <w:sz w:val="26"/>
                <w:szCs w:val="26"/>
              </w:rPr>
              <w:t>pecific   Activities to Address Task</w:t>
            </w:r>
          </w:p>
        </w:tc>
        <w:tc>
          <w:tcPr>
            <w:tcW w:w="6683" w:type="dxa"/>
            <w:tcBorders>
              <w:top w:val="single" w:sz="2" w:space="0" w:color="auto"/>
              <w:left w:val="single" w:sz="6" w:space="0" w:color="auto"/>
              <w:bottom w:val="single" w:sz="2" w:space="0" w:color="auto"/>
            </w:tcBorders>
            <w:vAlign w:val="center"/>
          </w:tcPr>
          <w:p w:rsidR="000B19E1" w:rsidRPr="001446B2" w:rsidRDefault="00974591" w:rsidP="00010082">
            <w:r w:rsidRPr="001446B2">
              <w:rPr>
                <w:rFonts w:ascii="Calibri" w:hAnsi="Calibri"/>
                <w:color w:val="000000"/>
              </w:rPr>
              <w:t>Use b</w:t>
            </w:r>
            <w:r w:rsidR="000250E3" w:rsidRPr="001446B2">
              <w:rPr>
                <w:rFonts w:ascii="Calibri" w:hAnsi="Calibri"/>
                <w:color w:val="000000"/>
              </w:rPr>
              <w:t>aseline consumer and business research</w:t>
            </w:r>
            <w:r w:rsidRPr="001446B2">
              <w:rPr>
                <w:rFonts w:ascii="Calibri" w:hAnsi="Calibri"/>
                <w:color w:val="000000"/>
              </w:rPr>
              <w:t xml:space="preserve"> to develop marketing strategies</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90C91" w:rsidRPr="001446B2" w:rsidRDefault="003A11AE" w:rsidP="00E00418">
            <w:pPr>
              <w:rPr>
                <w:rFonts w:ascii="Calibri" w:hAnsi="Calibri"/>
                <w:color w:val="000000"/>
              </w:rPr>
            </w:pPr>
            <w:r w:rsidRPr="001446B2">
              <w:rPr>
                <w:rFonts w:ascii="Calibri" w:hAnsi="Calibri"/>
                <w:color w:val="000000"/>
              </w:rPr>
              <w:t xml:space="preserve">Jayne Flores, </w:t>
            </w:r>
            <w:r w:rsidR="000250E3" w:rsidRPr="001446B2">
              <w:rPr>
                <w:rFonts w:ascii="Calibri" w:hAnsi="Calibri"/>
                <w:color w:val="000000"/>
              </w:rPr>
              <w:t>Assistant Director, Communications &amp; Promotions</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90C91" w:rsidRPr="001446B2" w:rsidRDefault="008B6D99" w:rsidP="00E00418">
            <w:pPr>
              <w:rPr>
                <w:rFonts w:ascii="Calibri" w:hAnsi="Calibri"/>
                <w:color w:val="000000"/>
              </w:rPr>
            </w:pPr>
            <w:r w:rsidRPr="001446B2">
              <w:rPr>
                <w:rFonts w:ascii="Calibri" w:hAnsi="Calibri"/>
                <w:color w:val="000000"/>
              </w:rPr>
              <w:t>December 2012</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90C91" w:rsidRPr="001446B2" w:rsidRDefault="00F12180" w:rsidP="003A11AE">
            <w:pPr>
              <w:rPr>
                <w:rFonts w:ascii="Calibri" w:hAnsi="Calibri"/>
                <w:color w:val="000000"/>
              </w:rPr>
            </w:pPr>
            <w:r w:rsidRPr="001446B2">
              <w:rPr>
                <w:rFonts w:ascii="Calibri" w:hAnsi="Calibri"/>
                <w:color w:val="000000"/>
              </w:rPr>
              <w:t>Ongoing</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90C91" w:rsidRPr="001446B2" w:rsidRDefault="00564340" w:rsidP="00564340">
            <w:pPr>
              <w:rPr>
                <w:rFonts w:ascii="Calibri" w:hAnsi="Calibri"/>
                <w:color w:val="000000"/>
              </w:rPr>
            </w:pPr>
            <w:r w:rsidRPr="001446B2">
              <w:rPr>
                <w:rFonts w:ascii="Calibri" w:hAnsi="Calibri"/>
                <w:color w:val="000000"/>
              </w:rPr>
              <w:t>Develop survey questions to be included in GCC institutional</w:t>
            </w:r>
            <w:r w:rsidR="006A32AC" w:rsidRPr="001446B2">
              <w:rPr>
                <w:rFonts w:ascii="Calibri" w:hAnsi="Calibri"/>
                <w:color w:val="000000"/>
              </w:rPr>
              <w:t>, student</w:t>
            </w:r>
            <w:r w:rsidRPr="001446B2">
              <w:rPr>
                <w:rFonts w:ascii="Calibri" w:hAnsi="Calibri"/>
                <w:color w:val="000000"/>
              </w:rPr>
              <w:t xml:space="preserve"> and CEWD surveys that address the e</w:t>
            </w:r>
            <w:bookmarkStart w:id="0" w:name="_GoBack"/>
            <w:bookmarkEnd w:id="0"/>
            <w:r w:rsidRPr="001446B2">
              <w:rPr>
                <w:rFonts w:ascii="Calibri" w:hAnsi="Calibri"/>
                <w:color w:val="000000"/>
              </w:rPr>
              <w:t>ffectiveness of marketing campaigns and strategies.</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90C91" w:rsidRPr="001446B2" w:rsidRDefault="005A4111" w:rsidP="00E00418">
            <w:pPr>
              <w:rPr>
                <w:rFonts w:ascii="Calibri" w:hAnsi="Calibri"/>
                <w:color w:val="000000"/>
              </w:rPr>
            </w:pPr>
            <w:r w:rsidRPr="001446B2">
              <w:rPr>
                <w:rFonts w:ascii="Calibri" w:hAnsi="Calibri"/>
                <w:color w:val="000000"/>
              </w:rPr>
              <w:t>30%</w:t>
            </w:r>
          </w:p>
        </w:tc>
      </w:tr>
      <w:tr w:rsidR="00AA62B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90C91" w:rsidRPr="001446B2" w:rsidRDefault="00564340" w:rsidP="00564340">
            <w:pPr>
              <w:rPr>
                <w:rFonts w:ascii="Calibri" w:hAnsi="Calibri"/>
                <w:color w:val="000000"/>
              </w:rPr>
            </w:pPr>
            <w:r w:rsidRPr="001446B2">
              <w:rPr>
                <w:rFonts w:ascii="Calibri" w:eastAsia="Times New Roman" w:hAnsi="Calibri" w:cs="Times New Roman"/>
              </w:rPr>
              <w:t>Continue to u</w:t>
            </w:r>
            <w:r w:rsidR="00DF1226" w:rsidRPr="001446B2">
              <w:rPr>
                <w:rFonts w:ascii="Calibri" w:eastAsia="Times New Roman" w:hAnsi="Calibri" w:cs="Times New Roman"/>
              </w:rPr>
              <w:t>se survey results to develop business testimonials about quality of GCC graduates performance in the workforce.</w:t>
            </w:r>
            <w:r w:rsidR="005A4111" w:rsidRPr="001446B2">
              <w:rPr>
                <w:rFonts w:ascii="Calibri" w:eastAsia="Times New Roman" w:hAnsi="Calibri" w:cs="Times New Roman"/>
              </w:rPr>
              <w:t xml:space="preserve"> </w:t>
            </w:r>
            <w:proofErr w:type="gramStart"/>
            <w:r w:rsidR="005A4111" w:rsidRPr="001446B2">
              <w:rPr>
                <w:rFonts w:ascii="Calibri" w:eastAsia="Times New Roman" w:hAnsi="Calibri" w:cs="Times New Roman"/>
              </w:rPr>
              <w:t>Also</w:t>
            </w:r>
            <w:proofErr w:type="gramEnd"/>
            <w:r w:rsidR="005A4111" w:rsidRPr="001446B2">
              <w:rPr>
                <w:rFonts w:ascii="Calibri" w:eastAsia="Times New Roman" w:hAnsi="Calibri" w:cs="Times New Roman"/>
              </w:rPr>
              <w:t xml:space="preserve"> conduct survey of students at 2012 student conference to assess satisfaction with GCC and effectiveness of GCC media ads</w:t>
            </w:r>
            <w:r w:rsidRPr="001446B2">
              <w:rPr>
                <w:rFonts w:ascii="Calibri" w:eastAsia="Times New Roman" w:hAnsi="Calibri" w:cs="Times New Roman"/>
              </w:rPr>
              <w:t xml:space="preserve"> or GCC news items</w:t>
            </w:r>
            <w:r w:rsidR="005A4111" w:rsidRPr="001446B2">
              <w:rPr>
                <w:rFonts w:ascii="Calibri" w:eastAsia="Times New Roman" w:hAnsi="Calibri" w:cs="Times New Roman"/>
              </w:rPr>
              <w:t>.</w:t>
            </w:r>
          </w:p>
        </w:tc>
      </w:tr>
      <w:tr w:rsidR="00AA62B5" w:rsidRPr="000B19E1" w:rsidTr="001446B2">
        <w:trPr>
          <w:trHeight w:val="360"/>
          <w:jc w:val="center"/>
        </w:trPr>
        <w:tc>
          <w:tcPr>
            <w:tcW w:w="2880" w:type="dxa"/>
            <w:tcBorders>
              <w:top w:val="single" w:sz="2" w:space="0" w:color="auto"/>
              <w:bottom w:val="doub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B90C91" w:rsidRPr="001446B2" w:rsidRDefault="006A32AC" w:rsidP="000D592A">
            <w:pPr>
              <w:rPr>
                <w:rFonts w:ascii="Calibri" w:hAnsi="Calibri"/>
                <w:color w:val="000000"/>
              </w:rPr>
            </w:pPr>
            <w:proofErr w:type="gramStart"/>
            <w:r w:rsidRPr="001446B2">
              <w:rPr>
                <w:rFonts w:ascii="Calibri" w:eastAsia="Times New Roman" w:hAnsi="Calibri" w:cs="Times New Roman"/>
              </w:rPr>
              <w:t>Also will use survey tool built into the front page of new GCC web site to measure the success of a particular program or event.</w:t>
            </w:r>
            <w:proofErr w:type="gramEnd"/>
          </w:p>
        </w:tc>
      </w:tr>
      <w:tr w:rsidR="00181451" w:rsidRPr="000B19E1" w:rsidTr="001446B2">
        <w:trPr>
          <w:trHeight w:hRule="exact" w:val="144"/>
          <w:jc w:val="center"/>
        </w:trPr>
        <w:tc>
          <w:tcPr>
            <w:tcW w:w="2880" w:type="dxa"/>
            <w:tcBorders>
              <w:top w:val="double" w:sz="2" w:space="0" w:color="auto"/>
              <w:bottom w:val="double" w:sz="2" w:space="0" w:color="auto"/>
              <w:right w:val="nil"/>
            </w:tcBorders>
            <w:vAlign w:val="center"/>
          </w:tcPr>
          <w:p w:rsidR="00181451" w:rsidRPr="001D23CF" w:rsidRDefault="00181451" w:rsidP="008432B2">
            <w:pPr>
              <w:rPr>
                <w:b/>
                <w:smallCaps/>
                <w:spacing w:val="20"/>
              </w:rPr>
            </w:pPr>
          </w:p>
        </w:tc>
        <w:tc>
          <w:tcPr>
            <w:tcW w:w="6683" w:type="dxa"/>
            <w:tcBorders>
              <w:top w:val="double" w:sz="2" w:space="0" w:color="auto"/>
              <w:left w:val="nil"/>
              <w:bottom w:val="double" w:sz="2" w:space="0" w:color="auto"/>
            </w:tcBorders>
            <w:vAlign w:val="center"/>
          </w:tcPr>
          <w:p w:rsidR="00181451" w:rsidRPr="001446B2" w:rsidRDefault="00181451" w:rsidP="008432B2">
            <w:pPr>
              <w:rPr>
                <w:rFonts w:ascii="Calibri" w:hAnsi="Calibri"/>
                <w:color w:val="000000"/>
              </w:rPr>
            </w:pPr>
          </w:p>
        </w:tc>
      </w:tr>
      <w:tr w:rsidR="000658F9" w:rsidRPr="000B19E1" w:rsidTr="001446B2">
        <w:trPr>
          <w:trHeight w:val="360"/>
          <w:jc w:val="center"/>
        </w:trPr>
        <w:tc>
          <w:tcPr>
            <w:tcW w:w="2880" w:type="dxa"/>
            <w:tcBorders>
              <w:top w:val="double" w:sz="2" w:space="0" w:color="auto"/>
              <w:bottom w:val="single" w:sz="2" w:space="0" w:color="auto"/>
              <w:right w:val="single" w:sz="6" w:space="0" w:color="auto"/>
            </w:tcBorders>
            <w:vAlign w:val="center"/>
          </w:tcPr>
          <w:p w:rsidR="000658F9" w:rsidRPr="000658F9" w:rsidRDefault="000658F9" w:rsidP="008432B2">
            <w:pPr>
              <w:pStyle w:val="ListParagraph"/>
              <w:numPr>
                <w:ilvl w:val="0"/>
                <w:numId w:val="1"/>
              </w:numPr>
              <w:ind w:left="335" w:hanging="335"/>
              <w:rPr>
                <w:b/>
                <w:smallCaps/>
                <w:spacing w:val="20"/>
                <w:sz w:val="26"/>
                <w:szCs w:val="26"/>
              </w:rPr>
            </w:pPr>
            <w:r w:rsidRPr="000658F9">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0658F9" w:rsidRPr="001446B2" w:rsidRDefault="000658F9" w:rsidP="00E00418">
            <w:r w:rsidRPr="001446B2">
              <w:rPr>
                <w:rFonts w:ascii="Calibri" w:eastAsia="Times New Roman" w:hAnsi="Calibri" w:cs="Times New Roman"/>
              </w:rPr>
              <w:t>Design a branding campaign</w:t>
            </w:r>
          </w:p>
        </w:tc>
      </w:tr>
      <w:tr w:rsidR="00954885"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954885" w:rsidRPr="001D23CF" w:rsidRDefault="00954885"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954885" w:rsidRPr="001446B2" w:rsidRDefault="00954885" w:rsidP="008432B2">
            <w:pPr>
              <w:rPr>
                <w:rFonts w:ascii="Calibri" w:hAnsi="Calibri"/>
                <w:color w:val="000000"/>
              </w:rPr>
            </w:pPr>
            <w:r w:rsidRPr="001446B2">
              <w:rPr>
                <w:rFonts w:ascii="Calibri" w:hAnsi="Calibri"/>
                <w:color w:val="000000"/>
              </w:rPr>
              <w:t>Assistant Director, Communications &amp; Promotions</w:t>
            </w:r>
          </w:p>
        </w:tc>
      </w:tr>
      <w:tr w:rsidR="0084724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47248" w:rsidRPr="001D23CF" w:rsidRDefault="00847248"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47248" w:rsidRPr="001446B2" w:rsidRDefault="00F07786" w:rsidP="008350D7">
            <w:pPr>
              <w:rPr>
                <w:rFonts w:ascii="Calibri" w:hAnsi="Calibri"/>
                <w:color w:val="000000"/>
              </w:rPr>
            </w:pPr>
            <w:r w:rsidRPr="001446B2">
              <w:rPr>
                <w:rFonts w:ascii="Calibri" w:hAnsi="Calibri"/>
                <w:color w:val="000000"/>
              </w:rPr>
              <w:t xml:space="preserve"> </w:t>
            </w:r>
            <w:r w:rsidR="008350D7" w:rsidRPr="001446B2">
              <w:rPr>
                <w:rFonts w:ascii="Calibri" w:hAnsi="Calibri"/>
                <w:color w:val="000000"/>
              </w:rPr>
              <w:t>September 2012</w:t>
            </w:r>
          </w:p>
        </w:tc>
      </w:tr>
      <w:tr w:rsidR="0084724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47248" w:rsidRPr="001D23CF" w:rsidRDefault="00847248"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47248" w:rsidRPr="001446B2" w:rsidRDefault="00F07786" w:rsidP="00E00418">
            <w:pPr>
              <w:rPr>
                <w:rFonts w:ascii="Calibri" w:hAnsi="Calibri"/>
                <w:color w:val="000000"/>
              </w:rPr>
            </w:pPr>
            <w:r w:rsidRPr="001446B2">
              <w:rPr>
                <w:rFonts w:ascii="Calibri" w:hAnsi="Calibri"/>
                <w:color w:val="000000"/>
              </w:rPr>
              <w:t>Completed</w:t>
            </w:r>
          </w:p>
        </w:tc>
      </w:tr>
      <w:tr w:rsidR="0084724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47248" w:rsidRPr="001D23CF" w:rsidRDefault="00847248"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47248" w:rsidRPr="001446B2" w:rsidRDefault="00DB0C5D" w:rsidP="00CF21E2">
            <w:pPr>
              <w:rPr>
                <w:rFonts w:ascii="Calibri" w:eastAsia="Times New Roman" w:hAnsi="Calibri" w:cs="Times New Roman"/>
              </w:rPr>
            </w:pPr>
            <w:r w:rsidRPr="001446B2">
              <w:rPr>
                <w:rFonts w:ascii="Calibri" w:eastAsia="Times New Roman" w:hAnsi="Calibri" w:cs="Times New Roman"/>
              </w:rPr>
              <w:t xml:space="preserve">Fall 2012 enrollment only 10 students off record mark of Fall 2011. </w:t>
            </w:r>
            <w:r w:rsidR="00651F0A" w:rsidRPr="001446B2">
              <w:rPr>
                <w:rFonts w:ascii="Calibri" w:eastAsia="Times New Roman" w:hAnsi="Calibri" w:cs="Times New Roman"/>
              </w:rPr>
              <w:t xml:space="preserve">Use enrollment statistics, surveys, attendance at GCC events, Facebook inquiries, and website poll </w:t>
            </w:r>
            <w:proofErr w:type="gramStart"/>
            <w:r w:rsidR="00651F0A" w:rsidRPr="001446B2">
              <w:rPr>
                <w:rFonts w:ascii="Calibri" w:eastAsia="Times New Roman" w:hAnsi="Calibri" w:cs="Times New Roman"/>
              </w:rPr>
              <w:t xml:space="preserve">to </w:t>
            </w:r>
            <w:r w:rsidR="00CF21E2" w:rsidRPr="001446B2">
              <w:rPr>
                <w:rFonts w:ascii="Calibri" w:eastAsia="Times New Roman" w:hAnsi="Calibri" w:cs="Times New Roman"/>
              </w:rPr>
              <w:t xml:space="preserve">continuously </w:t>
            </w:r>
            <w:r w:rsidR="00651F0A" w:rsidRPr="001446B2">
              <w:rPr>
                <w:rFonts w:ascii="Calibri" w:eastAsia="Times New Roman" w:hAnsi="Calibri" w:cs="Times New Roman"/>
              </w:rPr>
              <w:t>assess</w:t>
            </w:r>
            <w:proofErr w:type="gramEnd"/>
            <w:r w:rsidR="00651F0A" w:rsidRPr="001446B2">
              <w:rPr>
                <w:rFonts w:ascii="Calibri" w:eastAsia="Times New Roman" w:hAnsi="Calibri" w:cs="Times New Roman"/>
              </w:rPr>
              <w:t xml:space="preserve"> effectiveness of branding campaign. </w:t>
            </w:r>
          </w:p>
        </w:tc>
      </w:tr>
      <w:tr w:rsidR="0084724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47248" w:rsidRPr="001D23CF" w:rsidRDefault="00847248"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47248" w:rsidRPr="001446B2" w:rsidRDefault="00F12180" w:rsidP="00E00418">
            <w:pPr>
              <w:rPr>
                <w:rFonts w:ascii="Calibri" w:hAnsi="Calibri"/>
                <w:color w:val="000000"/>
              </w:rPr>
            </w:pPr>
            <w:r w:rsidRPr="001446B2">
              <w:rPr>
                <w:rFonts w:ascii="Calibri" w:hAnsi="Calibri"/>
                <w:color w:val="000000"/>
              </w:rPr>
              <w:t xml:space="preserve">100% - </w:t>
            </w:r>
            <w:r w:rsidR="00861503" w:rsidRPr="001446B2">
              <w:rPr>
                <w:rFonts w:ascii="Calibri" w:hAnsi="Calibri"/>
                <w:color w:val="000000"/>
              </w:rPr>
              <w:t>Branding campaign using student, graduate, and apprentice testimonials in radio ads, print ads, and annual report is ongoing.</w:t>
            </w:r>
          </w:p>
        </w:tc>
      </w:tr>
      <w:tr w:rsidR="0084724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47248" w:rsidRPr="001D23CF" w:rsidRDefault="00847248"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47248" w:rsidRPr="001446B2" w:rsidRDefault="00CF21E2" w:rsidP="00F12180">
            <w:pPr>
              <w:rPr>
                <w:rFonts w:ascii="Calibri" w:hAnsi="Calibri"/>
                <w:color w:val="000000"/>
              </w:rPr>
            </w:pPr>
            <w:proofErr w:type="gramStart"/>
            <w:r w:rsidRPr="001446B2">
              <w:rPr>
                <w:rFonts w:ascii="Calibri" w:eastAsia="Times New Roman" w:hAnsi="Calibri" w:cs="Times New Roman"/>
              </w:rPr>
              <w:t>Whenever possible, used unique branding campaign with music and slogans in all print and electronic media ads and all print materials emanating from GCC.</w:t>
            </w:r>
            <w:proofErr w:type="gramEnd"/>
            <w:r w:rsidRPr="001446B2">
              <w:rPr>
                <w:rFonts w:ascii="Calibri" w:eastAsia="Times New Roman" w:hAnsi="Calibri" w:cs="Times New Roman"/>
              </w:rPr>
              <w:t xml:space="preserve"> </w:t>
            </w:r>
          </w:p>
        </w:tc>
      </w:tr>
      <w:tr w:rsidR="00847248" w:rsidRPr="000B19E1" w:rsidTr="001446B2">
        <w:trPr>
          <w:trHeight w:val="360"/>
          <w:jc w:val="center"/>
        </w:trPr>
        <w:tc>
          <w:tcPr>
            <w:tcW w:w="2880" w:type="dxa"/>
            <w:tcBorders>
              <w:top w:val="single" w:sz="2" w:space="0" w:color="auto"/>
              <w:bottom w:val="double" w:sz="4" w:space="0" w:color="auto"/>
              <w:right w:val="single" w:sz="6" w:space="0" w:color="auto"/>
            </w:tcBorders>
            <w:vAlign w:val="center"/>
          </w:tcPr>
          <w:p w:rsidR="00847248" w:rsidRPr="001D23CF" w:rsidRDefault="00847248"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47248" w:rsidRPr="001446B2" w:rsidRDefault="00CF21E2" w:rsidP="00DA74C5">
            <w:pPr>
              <w:rPr>
                <w:rFonts w:ascii="Calibri" w:hAnsi="Calibri"/>
                <w:color w:val="000000"/>
              </w:rPr>
            </w:pPr>
            <w:r w:rsidRPr="001446B2">
              <w:rPr>
                <w:rFonts w:ascii="Calibri" w:eastAsia="Times New Roman" w:hAnsi="Calibri" w:cs="Times New Roman"/>
              </w:rPr>
              <w:t>Branding campaign</w:t>
            </w:r>
            <w:r w:rsidR="00954885" w:rsidRPr="001446B2">
              <w:rPr>
                <w:rFonts w:ascii="Calibri" w:eastAsia="Times New Roman" w:hAnsi="Calibri" w:cs="Times New Roman"/>
              </w:rPr>
              <w:t xml:space="preserve"> differentiate</w:t>
            </w:r>
            <w:r w:rsidRPr="001446B2">
              <w:rPr>
                <w:rFonts w:ascii="Calibri" w:eastAsia="Times New Roman" w:hAnsi="Calibri" w:cs="Times New Roman"/>
              </w:rPr>
              <w:t>s</w:t>
            </w:r>
            <w:r w:rsidR="00954885" w:rsidRPr="001446B2">
              <w:rPr>
                <w:rFonts w:ascii="Calibri" w:eastAsia="Times New Roman" w:hAnsi="Calibri" w:cs="Times New Roman"/>
              </w:rPr>
              <w:t xml:space="preserve"> GCC from the University of G</w:t>
            </w:r>
            <w:r w:rsidR="00DA74C5" w:rsidRPr="001446B2">
              <w:rPr>
                <w:rFonts w:ascii="Calibri" w:eastAsia="Times New Roman" w:hAnsi="Calibri" w:cs="Times New Roman"/>
              </w:rPr>
              <w:t>uam, highlight</w:t>
            </w:r>
            <w:r w:rsidRPr="001446B2">
              <w:rPr>
                <w:rFonts w:ascii="Calibri" w:eastAsia="Times New Roman" w:hAnsi="Calibri" w:cs="Times New Roman"/>
              </w:rPr>
              <w:t>ing</w:t>
            </w:r>
            <w:r w:rsidR="00DA74C5" w:rsidRPr="001446B2">
              <w:rPr>
                <w:rFonts w:ascii="Calibri" w:eastAsia="Times New Roman" w:hAnsi="Calibri" w:cs="Times New Roman"/>
              </w:rPr>
              <w:t xml:space="preserve"> that “GCC delivers!”</w:t>
            </w:r>
          </w:p>
        </w:tc>
      </w:tr>
      <w:tr w:rsidR="00010082" w:rsidRPr="000B19E1" w:rsidTr="001446B2">
        <w:trPr>
          <w:trHeight w:hRule="exact" w:val="144"/>
          <w:jc w:val="center"/>
        </w:trPr>
        <w:tc>
          <w:tcPr>
            <w:tcW w:w="2880" w:type="dxa"/>
            <w:tcBorders>
              <w:top w:val="double" w:sz="4" w:space="0" w:color="auto"/>
              <w:bottom w:val="double" w:sz="4" w:space="0" w:color="auto"/>
              <w:right w:val="nil"/>
            </w:tcBorders>
            <w:vAlign w:val="center"/>
          </w:tcPr>
          <w:p w:rsidR="00010082" w:rsidRPr="001D23CF" w:rsidRDefault="00010082" w:rsidP="008432B2">
            <w:pPr>
              <w:rPr>
                <w:b/>
                <w:smallCaps/>
                <w:spacing w:val="20"/>
              </w:rPr>
            </w:pPr>
          </w:p>
        </w:tc>
        <w:tc>
          <w:tcPr>
            <w:tcW w:w="6683" w:type="dxa"/>
            <w:tcBorders>
              <w:top w:val="double" w:sz="4" w:space="0" w:color="auto"/>
              <w:left w:val="nil"/>
              <w:bottom w:val="double" w:sz="4" w:space="0" w:color="auto"/>
            </w:tcBorders>
            <w:vAlign w:val="center"/>
          </w:tcPr>
          <w:p w:rsidR="00010082" w:rsidRPr="001446B2" w:rsidRDefault="00010082" w:rsidP="008432B2">
            <w:pPr>
              <w:rPr>
                <w:rFonts w:ascii="Calibri" w:hAnsi="Calibri"/>
                <w:color w:val="000000"/>
              </w:rPr>
            </w:pPr>
          </w:p>
        </w:tc>
      </w:tr>
      <w:tr w:rsidR="000658F9" w:rsidRPr="000B19E1" w:rsidTr="001446B2">
        <w:trPr>
          <w:trHeight w:val="360"/>
          <w:jc w:val="center"/>
        </w:trPr>
        <w:tc>
          <w:tcPr>
            <w:tcW w:w="2880" w:type="dxa"/>
            <w:tcBorders>
              <w:top w:val="double" w:sz="4" w:space="0" w:color="auto"/>
              <w:bottom w:val="single" w:sz="6" w:space="0" w:color="auto"/>
              <w:right w:val="single" w:sz="6" w:space="0" w:color="auto"/>
            </w:tcBorders>
            <w:vAlign w:val="center"/>
          </w:tcPr>
          <w:p w:rsidR="000658F9" w:rsidRPr="000658F9" w:rsidRDefault="000658F9" w:rsidP="008432B2">
            <w:pPr>
              <w:pStyle w:val="ListParagraph"/>
              <w:numPr>
                <w:ilvl w:val="0"/>
                <w:numId w:val="1"/>
              </w:numPr>
              <w:ind w:left="335" w:hanging="335"/>
              <w:rPr>
                <w:b/>
                <w:smallCaps/>
                <w:spacing w:val="20"/>
                <w:sz w:val="26"/>
                <w:szCs w:val="26"/>
              </w:rPr>
            </w:pPr>
            <w:r w:rsidRPr="000658F9">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0658F9" w:rsidRPr="001446B2" w:rsidRDefault="000658F9" w:rsidP="004749D3">
            <w:r w:rsidRPr="001446B2">
              <w:rPr>
                <w:rFonts w:ascii="Calibri" w:eastAsia="Times New Roman" w:hAnsi="Calibri" w:cs="Times New Roman"/>
              </w:rPr>
              <w:t>Incorporate all existing communication devices into the new brand</w:t>
            </w:r>
          </w:p>
        </w:tc>
      </w:tr>
      <w:tr w:rsidR="00FF68F5"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FF68F5" w:rsidRPr="001D23CF" w:rsidRDefault="00FF68F5"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FF68F5" w:rsidRPr="001446B2" w:rsidRDefault="000D592A" w:rsidP="008432B2">
            <w:pPr>
              <w:rPr>
                <w:rFonts w:ascii="Calibri" w:hAnsi="Calibri"/>
                <w:color w:val="000000"/>
              </w:rPr>
            </w:pPr>
            <w:r w:rsidRPr="001446B2">
              <w:rPr>
                <w:rFonts w:ascii="Calibri" w:hAnsi="Calibri"/>
                <w:color w:val="000000"/>
              </w:rPr>
              <w:t xml:space="preserve">Jayne Flores, </w:t>
            </w:r>
            <w:r w:rsidR="00FF68F5" w:rsidRPr="001446B2">
              <w:rPr>
                <w:rFonts w:ascii="Calibri" w:hAnsi="Calibri"/>
                <w:color w:val="000000"/>
              </w:rPr>
              <w:t>Assistant Director, Communications &amp; Promotions</w:t>
            </w:r>
          </w:p>
        </w:tc>
      </w:tr>
      <w:tr w:rsidR="00FF68F5"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FF68F5" w:rsidRPr="001D23CF" w:rsidRDefault="00FF68F5"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FF68F5" w:rsidRPr="001446B2" w:rsidRDefault="00B87650" w:rsidP="008432B2">
            <w:pPr>
              <w:rPr>
                <w:rFonts w:ascii="Calibri" w:hAnsi="Calibri"/>
                <w:color w:val="000000"/>
              </w:rPr>
            </w:pPr>
            <w:r w:rsidRPr="001446B2">
              <w:rPr>
                <w:rFonts w:ascii="Calibri" w:hAnsi="Calibri"/>
                <w:color w:val="000000"/>
              </w:rPr>
              <w:t>September 2012</w:t>
            </w:r>
          </w:p>
        </w:tc>
      </w:tr>
      <w:tr w:rsidR="00FF68F5"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FF68F5" w:rsidRPr="001D23CF" w:rsidRDefault="00FF68F5"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FF68F5" w:rsidRPr="001446B2" w:rsidRDefault="005A4111" w:rsidP="008432B2">
            <w:pPr>
              <w:rPr>
                <w:rFonts w:ascii="Calibri" w:hAnsi="Calibri"/>
                <w:color w:val="000000"/>
              </w:rPr>
            </w:pPr>
            <w:r w:rsidRPr="001446B2">
              <w:rPr>
                <w:rFonts w:ascii="Calibri" w:hAnsi="Calibri"/>
                <w:color w:val="000000"/>
              </w:rPr>
              <w:t>Ongoing</w:t>
            </w:r>
          </w:p>
        </w:tc>
      </w:tr>
      <w:tr w:rsidR="0001008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010082" w:rsidRPr="001D23CF" w:rsidRDefault="0001008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010082" w:rsidRPr="001446B2" w:rsidRDefault="00DB0C5D" w:rsidP="008432B2">
            <w:pPr>
              <w:rPr>
                <w:rFonts w:ascii="Calibri" w:hAnsi="Calibri"/>
                <w:color w:val="000000"/>
              </w:rPr>
            </w:pPr>
            <w:r w:rsidRPr="001446B2">
              <w:rPr>
                <w:rFonts w:ascii="Calibri" w:eastAsia="Times New Roman" w:hAnsi="Calibri" w:cs="Times New Roman"/>
              </w:rPr>
              <w:t xml:space="preserve">Use enrollment statistics, attendance at GCC events, Facebook </w:t>
            </w:r>
            <w:proofErr w:type="gramStart"/>
            <w:r w:rsidRPr="001446B2">
              <w:rPr>
                <w:rFonts w:ascii="Calibri" w:eastAsia="Times New Roman" w:hAnsi="Calibri" w:cs="Times New Roman"/>
              </w:rPr>
              <w:t>inquiries</w:t>
            </w:r>
            <w:proofErr w:type="gramEnd"/>
            <w:r w:rsidRPr="001446B2">
              <w:rPr>
                <w:rFonts w:ascii="Calibri" w:eastAsia="Times New Roman" w:hAnsi="Calibri" w:cs="Times New Roman"/>
              </w:rPr>
              <w:t xml:space="preserve"> and website polls to assess effectiveness of branding campaign.</w:t>
            </w:r>
          </w:p>
        </w:tc>
      </w:tr>
      <w:tr w:rsidR="0001008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010082" w:rsidRPr="001D23CF" w:rsidRDefault="0001008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010082" w:rsidRPr="001446B2" w:rsidRDefault="000D592A" w:rsidP="008432B2">
            <w:pPr>
              <w:rPr>
                <w:rFonts w:ascii="Calibri" w:hAnsi="Calibri"/>
                <w:color w:val="000000"/>
              </w:rPr>
            </w:pPr>
            <w:r w:rsidRPr="001446B2">
              <w:rPr>
                <w:rFonts w:ascii="Calibri" w:hAnsi="Calibri"/>
                <w:color w:val="000000"/>
              </w:rPr>
              <w:t>5</w:t>
            </w:r>
            <w:r w:rsidR="005A4111" w:rsidRPr="001446B2">
              <w:rPr>
                <w:rFonts w:ascii="Calibri" w:hAnsi="Calibri"/>
                <w:color w:val="000000"/>
              </w:rPr>
              <w:t>0%</w:t>
            </w:r>
          </w:p>
        </w:tc>
      </w:tr>
      <w:tr w:rsidR="0001008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010082" w:rsidRPr="001D23CF" w:rsidRDefault="00010082" w:rsidP="008432B2">
            <w:pPr>
              <w:jc w:val="right"/>
              <w:rPr>
                <w:smallCaps/>
                <w:spacing w:val="20"/>
              </w:rPr>
            </w:pPr>
            <w:r w:rsidRPr="001D23CF">
              <w:rPr>
                <w:smallCaps/>
                <w:spacing w:val="20"/>
              </w:rPr>
              <w:lastRenderedPageBreak/>
              <w:t>Next Steps</w:t>
            </w:r>
          </w:p>
        </w:tc>
        <w:tc>
          <w:tcPr>
            <w:tcW w:w="6683" w:type="dxa"/>
            <w:tcBorders>
              <w:top w:val="single" w:sz="2" w:space="0" w:color="auto"/>
              <w:left w:val="single" w:sz="6" w:space="0" w:color="auto"/>
              <w:bottom w:val="single" w:sz="6" w:space="0" w:color="auto"/>
            </w:tcBorders>
            <w:vAlign w:val="center"/>
          </w:tcPr>
          <w:p w:rsidR="00010082" w:rsidRPr="001446B2" w:rsidRDefault="00C5786F" w:rsidP="00DB0C5D">
            <w:pPr>
              <w:rPr>
                <w:rFonts w:ascii="Calibri" w:hAnsi="Calibri"/>
                <w:color w:val="000000"/>
              </w:rPr>
            </w:pPr>
            <w:r w:rsidRPr="001446B2">
              <w:rPr>
                <w:rFonts w:ascii="Calibri" w:eastAsia="Times New Roman" w:hAnsi="Calibri" w:cs="Times New Roman"/>
              </w:rPr>
              <w:t>Continue to i</w:t>
            </w:r>
            <w:r w:rsidR="00DB0C5D" w:rsidRPr="001446B2">
              <w:rPr>
                <w:rFonts w:ascii="Calibri" w:eastAsia="Times New Roman" w:hAnsi="Calibri" w:cs="Times New Roman"/>
              </w:rPr>
              <w:t>ncorporate branding campaign using GCC colors, music, and slogans into media ads and print materials.</w:t>
            </w:r>
            <w:r w:rsidRPr="001446B2">
              <w:rPr>
                <w:rFonts w:ascii="Calibri" w:eastAsia="Times New Roman" w:hAnsi="Calibri" w:cs="Times New Roman"/>
              </w:rPr>
              <w:t xml:space="preserve"> Highlight “GCC delivers” slogan this academic year.</w:t>
            </w:r>
          </w:p>
        </w:tc>
      </w:tr>
      <w:tr w:rsidR="0001008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010082" w:rsidRPr="001D23CF" w:rsidRDefault="0001008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010082" w:rsidRPr="001446B2" w:rsidRDefault="00FF68F5" w:rsidP="008324F7">
            <w:pPr>
              <w:rPr>
                <w:rFonts w:ascii="Calibri" w:hAnsi="Calibri"/>
                <w:color w:val="000000"/>
              </w:rPr>
            </w:pPr>
            <w:r w:rsidRPr="001446B2">
              <w:rPr>
                <w:rFonts w:ascii="Calibri" w:eastAsia="Times New Roman" w:hAnsi="Calibri" w:cs="Times New Roman"/>
              </w:rPr>
              <w:t xml:space="preserve">If the campaign proves to be “catchy” and effective, will implement for two </w:t>
            </w:r>
            <w:r w:rsidR="008324F7" w:rsidRPr="001446B2">
              <w:rPr>
                <w:rFonts w:ascii="Calibri" w:eastAsia="Times New Roman" w:hAnsi="Calibri" w:cs="Times New Roman"/>
              </w:rPr>
              <w:t>consecutive fall enrollment cycles</w:t>
            </w:r>
            <w:r w:rsidRPr="001446B2">
              <w:rPr>
                <w:rFonts w:ascii="Calibri" w:eastAsia="Times New Roman" w:hAnsi="Calibri" w:cs="Times New Roman"/>
              </w:rPr>
              <w:t>.</w:t>
            </w:r>
          </w:p>
        </w:tc>
      </w:tr>
    </w:tbl>
    <w:p w:rsidR="004B42E6" w:rsidRDefault="004B42E6" w:rsidP="004B42E6"/>
    <w:p w:rsidR="003A4CF5" w:rsidRDefault="003A4CF5" w:rsidP="004B42E6"/>
    <w:p w:rsidR="003607EE" w:rsidRDefault="003607EE" w:rsidP="004B42E6"/>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253"/>
        <w:gridCol w:w="7547"/>
      </w:tblGrid>
      <w:tr w:rsidR="003607EE" w:rsidRPr="000B19E1" w:rsidTr="001446B2">
        <w:trPr>
          <w:trHeight w:hRule="exact" w:val="1440"/>
          <w:tblHeader/>
          <w:jc w:val="center"/>
        </w:trPr>
        <w:tc>
          <w:tcPr>
            <w:tcW w:w="2880" w:type="dxa"/>
            <w:tcBorders>
              <w:top w:val="single" w:sz="6" w:space="0" w:color="auto"/>
              <w:bottom w:val="single" w:sz="2" w:space="0" w:color="auto"/>
              <w:right w:val="single" w:sz="6" w:space="0" w:color="auto"/>
            </w:tcBorders>
            <w:shd w:val="clear" w:color="auto" w:fill="DBE5F1" w:themeFill="accent1" w:themeFillTint="33"/>
            <w:vAlign w:val="center"/>
          </w:tcPr>
          <w:p w:rsidR="003607EE" w:rsidRPr="00FC7DB9" w:rsidRDefault="003607EE" w:rsidP="008432B2">
            <w:pPr>
              <w:jc w:val="center"/>
              <w:rPr>
                <w:b/>
                <w:spacing w:val="100"/>
                <w:sz w:val="24"/>
                <w:szCs w:val="24"/>
              </w:rPr>
            </w:pPr>
            <w:r w:rsidRPr="00FC7DB9">
              <w:rPr>
                <w:b/>
                <w:spacing w:val="100"/>
                <w:sz w:val="24"/>
                <w:szCs w:val="24"/>
              </w:rPr>
              <w:t>TASK</w:t>
            </w:r>
            <w:r w:rsidR="008955C4">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3607EE" w:rsidRPr="00722BDF" w:rsidRDefault="00AC4788" w:rsidP="00AC4788">
            <w:pPr>
              <w:rPr>
                <w:caps/>
                <w:sz w:val="24"/>
                <w:szCs w:val="24"/>
              </w:rPr>
            </w:pPr>
            <w:r>
              <w:rPr>
                <w:caps/>
                <w:sz w:val="24"/>
                <w:szCs w:val="24"/>
              </w:rPr>
              <w:t>to increase enrollment and improve student retention at gcc</w:t>
            </w:r>
          </w:p>
        </w:tc>
      </w:tr>
      <w:tr w:rsidR="003607EE"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3607EE" w:rsidRPr="000658F9" w:rsidRDefault="003607EE" w:rsidP="000658F9">
            <w:pPr>
              <w:pStyle w:val="ListParagraph"/>
              <w:numPr>
                <w:ilvl w:val="0"/>
                <w:numId w:val="2"/>
              </w:numPr>
              <w:ind w:left="335" w:hanging="335"/>
              <w:rPr>
                <w:b/>
                <w:smallCaps/>
                <w:spacing w:val="20"/>
                <w:sz w:val="26"/>
                <w:szCs w:val="26"/>
              </w:rPr>
            </w:pPr>
            <w:r w:rsidRPr="000658F9">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3607EE" w:rsidRPr="001446B2" w:rsidRDefault="0078574D" w:rsidP="008324F7">
            <w:proofErr w:type="gramStart"/>
            <w:r w:rsidRPr="001446B2">
              <w:rPr>
                <w:rFonts w:ascii="Calibri" w:eastAsia="Times New Roman" w:hAnsi="Calibri" w:cs="Times New Roman"/>
              </w:rPr>
              <w:t xml:space="preserve">Advertisement of </w:t>
            </w:r>
            <w:r w:rsidR="008324F7" w:rsidRPr="001446B2">
              <w:rPr>
                <w:rFonts w:ascii="Calibri" w:eastAsia="Times New Roman" w:hAnsi="Calibri" w:cs="Times New Roman"/>
              </w:rPr>
              <w:t>educational programs and activities at GCC.</w:t>
            </w:r>
            <w:proofErr w:type="gramEnd"/>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8432B2">
            <w:pPr>
              <w:rPr>
                <w:rFonts w:ascii="Calibri" w:hAnsi="Calibri"/>
                <w:color w:val="000000"/>
              </w:rPr>
            </w:pPr>
            <w:r w:rsidRPr="001446B2">
              <w:rPr>
                <w:rFonts w:ascii="Calibri" w:hAnsi="Calibri"/>
                <w:color w:val="000000"/>
              </w:rPr>
              <w:t>Jayne Flores, Assistant Director, Communications &amp; Promotions</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8432B2">
            <w:pPr>
              <w:rPr>
                <w:rFonts w:ascii="Calibri" w:hAnsi="Calibri"/>
                <w:color w:val="000000"/>
              </w:rPr>
            </w:pPr>
            <w:r w:rsidRPr="001446B2">
              <w:rPr>
                <w:rFonts w:ascii="Calibri" w:hAnsi="Calibri"/>
                <w:color w:val="000000"/>
              </w:rPr>
              <w:t>December 201</w:t>
            </w:r>
            <w:r w:rsidR="008324F7" w:rsidRPr="001446B2">
              <w:rPr>
                <w:rFonts w:ascii="Calibri" w:hAnsi="Calibri"/>
                <w:color w:val="000000"/>
              </w:rPr>
              <w:t>2</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8432B2">
            <w:pPr>
              <w:rPr>
                <w:rFonts w:ascii="Calibri" w:hAnsi="Calibri"/>
                <w:color w:val="000000"/>
              </w:rPr>
            </w:pPr>
            <w:r w:rsidRPr="001446B2">
              <w:rPr>
                <w:rFonts w:ascii="Calibri" w:hAnsi="Calibri"/>
                <w:color w:val="000000"/>
              </w:rPr>
              <w:t>Ongoing</w:t>
            </w:r>
          </w:p>
        </w:tc>
      </w:tr>
      <w:tr w:rsidR="003607EE"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3607EE" w:rsidRPr="001D23CF" w:rsidRDefault="003607EE"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3607EE" w:rsidRPr="001446B2" w:rsidRDefault="008324F7" w:rsidP="008324F7">
            <w:pPr>
              <w:rPr>
                <w:rFonts w:ascii="Calibri" w:hAnsi="Calibri"/>
                <w:color w:val="000000"/>
              </w:rPr>
            </w:pPr>
            <w:proofErr w:type="gramStart"/>
            <w:r w:rsidRPr="001446B2">
              <w:rPr>
                <w:rFonts w:ascii="Calibri" w:eastAsia="Times New Roman" w:hAnsi="Calibri" w:cs="Times New Roman"/>
                <w:bCs/>
                <w:iCs/>
              </w:rPr>
              <w:t>Early registration numbers for following semester and final semester enrollment numbers.</w:t>
            </w:r>
            <w:proofErr w:type="gramEnd"/>
          </w:p>
        </w:tc>
      </w:tr>
      <w:tr w:rsidR="003607EE"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3607EE" w:rsidRPr="001D23CF" w:rsidRDefault="003607EE"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3607EE" w:rsidRPr="001446B2" w:rsidRDefault="008324F7" w:rsidP="008432B2">
            <w:pPr>
              <w:rPr>
                <w:rFonts w:ascii="Calibri" w:hAnsi="Calibri"/>
                <w:color w:val="000000"/>
              </w:rPr>
            </w:pPr>
            <w:r w:rsidRPr="001446B2">
              <w:rPr>
                <w:rFonts w:ascii="Calibri" w:hAnsi="Calibri"/>
                <w:color w:val="000000"/>
              </w:rPr>
              <w:t>5</w:t>
            </w:r>
            <w:r w:rsidR="0078574D" w:rsidRPr="001446B2">
              <w:rPr>
                <w:rFonts w:ascii="Calibri" w:hAnsi="Calibri"/>
                <w:color w:val="000000"/>
              </w:rPr>
              <w:t>0%</w:t>
            </w:r>
          </w:p>
        </w:tc>
      </w:tr>
      <w:tr w:rsidR="003607EE"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3607EE" w:rsidRPr="001D23CF" w:rsidRDefault="003607EE"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3607EE" w:rsidRPr="001446B2" w:rsidRDefault="008324F7" w:rsidP="00572FCF">
            <w:pPr>
              <w:rPr>
                <w:rFonts w:ascii="Calibri" w:hAnsi="Calibri"/>
                <w:color w:val="000000"/>
              </w:rPr>
            </w:pPr>
            <w:r w:rsidRPr="001446B2">
              <w:rPr>
                <w:rFonts w:ascii="Calibri" w:eastAsia="Times New Roman" w:hAnsi="Calibri" w:cs="Times New Roman"/>
                <w:bCs/>
                <w:iCs/>
              </w:rPr>
              <w:t xml:space="preserve">Use </w:t>
            </w:r>
            <w:r w:rsidR="00AC4788" w:rsidRPr="001446B2">
              <w:rPr>
                <w:rFonts w:ascii="Calibri" w:eastAsia="Times New Roman" w:hAnsi="Calibri" w:cs="Times New Roman"/>
                <w:bCs/>
                <w:iCs/>
              </w:rPr>
              <w:t>photograph</w:t>
            </w:r>
            <w:r w:rsidRPr="001446B2">
              <w:rPr>
                <w:rFonts w:ascii="Calibri" w:eastAsia="Times New Roman" w:hAnsi="Calibri" w:cs="Times New Roman"/>
                <w:bCs/>
                <w:iCs/>
              </w:rPr>
              <w:t xml:space="preserve">s </w:t>
            </w:r>
            <w:r w:rsidR="00AC4788" w:rsidRPr="001446B2">
              <w:rPr>
                <w:rFonts w:ascii="Calibri" w:eastAsia="Times New Roman" w:hAnsi="Calibri" w:cs="Times New Roman"/>
                <w:bCs/>
                <w:iCs/>
              </w:rPr>
              <w:t xml:space="preserve">of GCC students </w:t>
            </w:r>
            <w:r w:rsidRPr="001446B2">
              <w:rPr>
                <w:rFonts w:ascii="Calibri" w:eastAsia="Times New Roman" w:hAnsi="Calibri" w:cs="Times New Roman"/>
                <w:bCs/>
                <w:iCs/>
              </w:rPr>
              <w:t xml:space="preserve">at events in advertisements and on web site. </w:t>
            </w:r>
            <w:r w:rsidR="00572FCF" w:rsidRPr="001446B2">
              <w:rPr>
                <w:rFonts w:ascii="Calibri" w:eastAsia="Times New Roman" w:hAnsi="Calibri" w:cs="Times New Roman"/>
                <w:bCs/>
                <w:iCs/>
              </w:rPr>
              <w:t xml:space="preserve">Use photos in </w:t>
            </w:r>
            <w:r w:rsidR="00AC4788" w:rsidRPr="001446B2">
              <w:rPr>
                <w:rFonts w:ascii="Calibri" w:eastAsia="Times New Roman" w:hAnsi="Calibri" w:cs="Times New Roman"/>
                <w:bCs/>
                <w:iCs/>
              </w:rPr>
              <w:t>poster</w:t>
            </w:r>
            <w:r w:rsidR="00572FCF" w:rsidRPr="001446B2">
              <w:rPr>
                <w:rFonts w:ascii="Calibri" w:eastAsia="Times New Roman" w:hAnsi="Calibri" w:cs="Times New Roman"/>
                <w:bCs/>
                <w:iCs/>
              </w:rPr>
              <w:t xml:space="preserve">s and advertisements </w:t>
            </w:r>
            <w:r w:rsidR="00AC4788" w:rsidRPr="001446B2">
              <w:rPr>
                <w:rFonts w:ascii="Calibri" w:eastAsia="Times New Roman" w:hAnsi="Calibri" w:cs="Times New Roman"/>
                <w:bCs/>
                <w:iCs/>
              </w:rPr>
              <w:t>within budget constraints</w:t>
            </w:r>
            <w:r w:rsidR="00572FCF" w:rsidRPr="001446B2">
              <w:rPr>
                <w:rFonts w:ascii="Calibri" w:eastAsia="Times New Roman" w:hAnsi="Calibri" w:cs="Times New Roman"/>
                <w:bCs/>
                <w:iCs/>
              </w:rPr>
              <w:t>. Work with CACGP and other federal programs</w:t>
            </w:r>
            <w:r w:rsidR="000D592A" w:rsidRPr="001446B2">
              <w:rPr>
                <w:rFonts w:ascii="Calibri" w:eastAsia="Times New Roman" w:hAnsi="Calibri" w:cs="Times New Roman"/>
                <w:bCs/>
                <w:iCs/>
              </w:rPr>
              <w:t xml:space="preserve"> to develop recruitment video and TV/movie theater ads for program.</w:t>
            </w:r>
          </w:p>
        </w:tc>
      </w:tr>
      <w:tr w:rsidR="003607EE" w:rsidRPr="000B19E1" w:rsidTr="001446B2">
        <w:trPr>
          <w:trHeight w:val="360"/>
          <w:jc w:val="center"/>
        </w:trPr>
        <w:tc>
          <w:tcPr>
            <w:tcW w:w="2880" w:type="dxa"/>
            <w:tcBorders>
              <w:top w:val="single" w:sz="2" w:space="0" w:color="auto"/>
              <w:bottom w:val="double" w:sz="2" w:space="0" w:color="auto"/>
              <w:right w:val="single" w:sz="6" w:space="0" w:color="auto"/>
            </w:tcBorders>
            <w:vAlign w:val="center"/>
          </w:tcPr>
          <w:p w:rsidR="003607EE" w:rsidRPr="001D23CF" w:rsidRDefault="003607EE"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3607EE" w:rsidRPr="001446B2" w:rsidRDefault="00AC4788" w:rsidP="008324F7">
            <w:pPr>
              <w:rPr>
                <w:rFonts w:ascii="Calibri" w:hAnsi="Calibri"/>
                <w:color w:val="000000"/>
              </w:rPr>
            </w:pPr>
            <w:r w:rsidRPr="001446B2">
              <w:rPr>
                <w:rFonts w:ascii="Calibri" w:eastAsia="Times New Roman" w:hAnsi="Calibri" w:cs="Times New Roman"/>
              </w:rPr>
              <w:t xml:space="preserve">Collaboration with programs </w:t>
            </w:r>
            <w:proofErr w:type="gramStart"/>
            <w:r w:rsidRPr="001446B2">
              <w:rPr>
                <w:rFonts w:ascii="Calibri" w:eastAsia="Times New Roman" w:hAnsi="Calibri" w:cs="Times New Roman"/>
              </w:rPr>
              <w:t>is designed</w:t>
            </w:r>
            <w:proofErr w:type="gramEnd"/>
            <w:r w:rsidRPr="001446B2">
              <w:rPr>
                <w:rFonts w:ascii="Calibri" w:eastAsia="Times New Roman" w:hAnsi="Calibri" w:cs="Times New Roman"/>
              </w:rPr>
              <w:t xml:space="preserve"> to boost college attendance</w:t>
            </w:r>
            <w:r w:rsidR="000D592A" w:rsidRPr="001446B2">
              <w:rPr>
                <w:rFonts w:ascii="Calibri" w:eastAsia="Times New Roman" w:hAnsi="Calibri" w:cs="Times New Roman"/>
              </w:rPr>
              <w:t xml:space="preserve"> and GCC “brand,”</w:t>
            </w:r>
            <w:r w:rsidRPr="001446B2">
              <w:rPr>
                <w:rFonts w:ascii="Calibri" w:eastAsia="Times New Roman" w:hAnsi="Calibri" w:cs="Times New Roman"/>
              </w:rPr>
              <w:t xml:space="preserve"> and allows </w:t>
            </w:r>
            <w:r w:rsidR="00632F8F" w:rsidRPr="001446B2">
              <w:rPr>
                <w:rFonts w:ascii="Calibri" w:eastAsia="Times New Roman" w:hAnsi="Calibri" w:cs="Times New Roman"/>
              </w:rPr>
              <w:t>advertising</w:t>
            </w:r>
            <w:r w:rsidRPr="001446B2">
              <w:rPr>
                <w:rFonts w:ascii="Calibri" w:eastAsia="Times New Roman" w:hAnsi="Calibri" w:cs="Times New Roman"/>
              </w:rPr>
              <w:t xml:space="preserve"> dollars to be more effective.</w:t>
            </w:r>
          </w:p>
        </w:tc>
      </w:tr>
      <w:tr w:rsidR="003607EE" w:rsidRPr="000B19E1" w:rsidTr="001446B2">
        <w:trPr>
          <w:trHeight w:hRule="exact" w:val="144"/>
          <w:jc w:val="center"/>
        </w:trPr>
        <w:tc>
          <w:tcPr>
            <w:tcW w:w="2880" w:type="dxa"/>
            <w:tcBorders>
              <w:top w:val="double" w:sz="2" w:space="0" w:color="auto"/>
              <w:bottom w:val="double" w:sz="2" w:space="0" w:color="auto"/>
              <w:right w:val="nil"/>
            </w:tcBorders>
            <w:vAlign w:val="center"/>
          </w:tcPr>
          <w:p w:rsidR="003607EE" w:rsidRPr="001D23CF" w:rsidRDefault="003607EE" w:rsidP="008432B2">
            <w:pPr>
              <w:rPr>
                <w:b/>
                <w:smallCaps/>
                <w:spacing w:val="20"/>
              </w:rPr>
            </w:pPr>
          </w:p>
        </w:tc>
        <w:tc>
          <w:tcPr>
            <w:tcW w:w="6683" w:type="dxa"/>
            <w:tcBorders>
              <w:top w:val="double" w:sz="2" w:space="0" w:color="auto"/>
              <w:left w:val="nil"/>
              <w:bottom w:val="double" w:sz="2" w:space="0" w:color="auto"/>
            </w:tcBorders>
            <w:vAlign w:val="center"/>
          </w:tcPr>
          <w:p w:rsidR="003607EE" w:rsidRPr="001446B2" w:rsidRDefault="003607EE" w:rsidP="008432B2">
            <w:pPr>
              <w:rPr>
                <w:rFonts w:ascii="Calibri" w:hAnsi="Calibri"/>
                <w:color w:val="000000"/>
              </w:rPr>
            </w:pPr>
          </w:p>
        </w:tc>
      </w:tr>
      <w:tr w:rsidR="000658F9" w:rsidRPr="000B19E1" w:rsidTr="001446B2">
        <w:trPr>
          <w:trHeight w:val="360"/>
          <w:jc w:val="center"/>
        </w:trPr>
        <w:tc>
          <w:tcPr>
            <w:tcW w:w="2880" w:type="dxa"/>
            <w:tcBorders>
              <w:top w:val="double" w:sz="2" w:space="0" w:color="auto"/>
              <w:bottom w:val="single" w:sz="2" w:space="0" w:color="auto"/>
              <w:right w:val="single" w:sz="6" w:space="0" w:color="auto"/>
            </w:tcBorders>
            <w:vAlign w:val="center"/>
          </w:tcPr>
          <w:p w:rsidR="000658F9" w:rsidRPr="000658F9" w:rsidRDefault="000658F9" w:rsidP="008432B2">
            <w:pPr>
              <w:pStyle w:val="ListParagraph"/>
              <w:numPr>
                <w:ilvl w:val="0"/>
                <w:numId w:val="2"/>
              </w:numPr>
              <w:ind w:left="335" w:hanging="335"/>
              <w:rPr>
                <w:b/>
                <w:smallCaps/>
                <w:spacing w:val="20"/>
                <w:sz w:val="26"/>
                <w:szCs w:val="26"/>
              </w:rPr>
            </w:pPr>
            <w:r w:rsidRPr="000658F9">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0658F9" w:rsidRPr="001446B2" w:rsidRDefault="000A5BA7" w:rsidP="008432B2">
            <w:r w:rsidRPr="001446B2">
              <w:t>Increase community awareness of college activities and c</w:t>
            </w:r>
            <w:r w:rsidR="000658F9" w:rsidRPr="001446B2">
              <w:t>ampus special events</w:t>
            </w:r>
            <w:r w:rsidRPr="001446B2">
              <w:t>.</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AC4788">
            <w:pPr>
              <w:rPr>
                <w:rFonts w:ascii="Calibri" w:hAnsi="Calibri"/>
                <w:color w:val="000000"/>
              </w:rPr>
            </w:pPr>
            <w:r w:rsidRPr="001446B2">
              <w:rPr>
                <w:rFonts w:ascii="Calibri" w:hAnsi="Calibri"/>
                <w:color w:val="000000"/>
              </w:rPr>
              <w:t xml:space="preserve">Jayne Flores, </w:t>
            </w:r>
            <w:r w:rsidR="00AC4788" w:rsidRPr="001446B2">
              <w:rPr>
                <w:rFonts w:ascii="Calibri" w:hAnsi="Calibri"/>
                <w:color w:val="000000"/>
              </w:rPr>
              <w:t>Assistant Director, Communications &amp; Promotions</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8432B2">
            <w:pPr>
              <w:rPr>
                <w:rFonts w:ascii="Calibri" w:hAnsi="Calibri"/>
                <w:color w:val="000000"/>
              </w:rPr>
            </w:pPr>
            <w:r w:rsidRPr="001446B2">
              <w:rPr>
                <w:rFonts w:ascii="Calibri" w:hAnsi="Calibri"/>
                <w:color w:val="000000"/>
              </w:rPr>
              <w:t>December 201</w:t>
            </w:r>
            <w:r w:rsidR="000870C9" w:rsidRPr="001446B2">
              <w:rPr>
                <w:rFonts w:ascii="Calibri" w:hAnsi="Calibri"/>
                <w:color w:val="000000"/>
              </w:rPr>
              <w:t>2</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78574D">
            <w:pPr>
              <w:rPr>
                <w:rFonts w:ascii="Calibri" w:hAnsi="Calibri"/>
                <w:color w:val="000000"/>
              </w:rPr>
            </w:pPr>
            <w:r w:rsidRPr="001446B2">
              <w:rPr>
                <w:rFonts w:ascii="Calibri" w:hAnsi="Calibri"/>
                <w:color w:val="000000"/>
              </w:rPr>
              <w:t>Open Campus Day completed (Feb. 2011</w:t>
            </w:r>
            <w:r w:rsidR="000870C9" w:rsidRPr="001446B2">
              <w:rPr>
                <w:rFonts w:ascii="Calibri" w:hAnsi="Calibri"/>
                <w:color w:val="000000"/>
              </w:rPr>
              <w:t>);</w:t>
            </w:r>
            <w:r w:rsidRPr="001446B2">
              <w:rPr>
                <w:rFonts w:ascii="Calibri" w:hAnsi="Calibri"/>
                <w:color w:val="000000"/>
              </w:rPr>
              <w:t xml:space="preserve"> Student Center groundbreaking completed (Dec. 2011)</w:t>
            </w:r>
            <w:r w:rsidR="000870C9" w:rsidRPr="001446B2">
              <w:rPr>
                <w:rFonts w:ascii="Calibri" w:hAnsi="Calibri"/>
                <w:color w:val="000000"/>
              </w:rPr>
              <w:t xml:space="preserve">; </w:t>
            </w:r>
            <w:r w:rsidR="00F400CB" w:rsidRPr="001446B2">
              <w:rPr>
                <w:rFonts w:ascii="Calibri" w:hAnsi="Calibri"/>
                <w:color w:val="000000"/>
              </w:rPr>
              <w:t>CCR Summit (May 2012)</w:t>
            </w:r>
            <w:proofErr w:type="gramStart"/>
            <w:r w:rsidR="00F400CB" w:rsidRPr="001446B2">
              <w:rPr>
                <w:rFonts w:ascii="Calibri" w:hAnsi="Calibri"/>
                <w:color w:val="000000"/>
              </w:rPr>
              <w:t xml:space="preserve">;  </w:t>
            </w:r>
            <w:r w:rsidR="000870C9" w:rsidRPr="001446B2">
              <w:rPr>
                <w:rFonts w:ascii="Calibri" w:hAnsi="Calibri"/>
                <w:color w:val="000000"/>
              </w:rPr>
              <w:t>Foundation</w:t>
            </w:r>
            <w:proofErr w:type="gramEnd"/>
            <w:r w:rsidR="000870C9" w:rsidRPr="001446B2">
              <w:rPr>
                <w:rFonts w:ascii="Calibri" w:hAnsi="Calibri"/>
                <w:color w:val="000000"/>
              </w:rPr>
              <w:t xml:space="preserve"> Building Groundbreaking (Nov. 2012). </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AC4788" w:rsidRPr="001446B2" w:rsidRDefault="00B248BE" w:rsidP="000A5BA7">
            <w:pPr>
              <w:rPr>
                <w:rFonts w:ascii="Calibri" w:hAnsi="Calibri"/>
                <w:color w:val="000000"/>
              </w:rPr>
            </w:pPr>
            <w:proofErr w:type="gramStart"/>
            <w:r w:rsidRPr="001446B2">
              <w:rPr>
                <w:rFonts w:ascii="Calibri" w:eastAsia="Times New Roman" w:hAnsi="Calibri" w:cs="Times New Roman"/>
                <w:bCs/>
                <w:iCs/>
              </w:rPr>
              <w:t>Measure</w:t>
            </w:r>
            <w:r w:rsidR="0078574D" w:rsidRPr="001446B2">
              <w:rPr>
                <w:rFonts w:ascii="Calibri" w:eastAsia="Times New Roman" w:hAnsi="Calibri" w:cs="Times New Roman"/>
                <w:bCs/>
                <w:iCs/>
              </w:rPr>
              <w:t>d</w:t>
            </w:r>
            <w:r w:rsidRPr="001446B2">
              <w:rPr>
                <w:rFonts w:ascii="Calibri" w:eastAsia="Times New Roman" w:hAnsi="Calibri" w:cs="Times New Roman"/>
                <w:bCs/>
                <w:iCs/>
              </w:rPr>
              <w:t xml:space="preserve"> </w:t>
            </w:r>
            <w:r w:rsidR="000A5BA7" w:rsidRPr="001446B2">
              <w:rPr>
                <w:rFonts w:ascii="Calibri" w:eastAsia="Times New Roman" w:hAnsi="Calibri" w:cs="Times New Roman"/>
                <w:bCs/>
                <w:iCs/>
              </w:rPr>
              <w:t xml:space="preserve">increased </w:t>
            </w:r>
            <w:r w:rsidRPr="001446B2">
              <w:rPr>
                <w:rFonts w:ascii="Calibri" w:eastAsia="Times New Roman" w:hAnsi="Calibri" w:cs="Times New Roman"/>
                <w:bCs/>
                <w:iCs/>
              </w:rPr>
              <w:t xml:space="preserve">attendance from </w:t>
            </w:r>
            <w:r w:rsidR="0078574D" w:rsidRPr="001446B2">
              <w:rPr>
                <w:rFonts w:ascii="Calibri" w:eastAsia="Times New Roman" w:hAnsi="Calibri" w:cs="Times New Roman"/>
                <w:bCs/>
                <w:iCs/>
              </w:rPr>
              <w:t>2010 to 2011 Open Campus Day</w:t>
            </w:r>
            <w:r w:rsidR="00040739" w:rsidRPr="001446B2">
              <w:rPr>
                <w:rFonts w:ascii="Calibri" w:eastAsia="Times New Roman" w:hAnsi="Calibri" w:cs="Times New Roman"/>
                <w:bCs/>
                <w:iCs/>
              </w:rPr>
              <w:t xml:space="preserve">, Open Campus Day </w:t>
            </w:r>
            <w:r w:rsidR="00CF3DB0" w:rsidRPr="001446B2">
              <w:rPr>
                <w:rFonts w:ascii="Calibri" w:eastAsia="Times New Roman" w:hAnsi="Calibri" w:cs="Times New Roman"/>
                <w:bCs/>
                <w:iCs/>
              </w:rPr>
              <w:t xml:space="preserve">2011 </w:t>
            </w:r>
            <w:r w:rsidR="00040739" w:rsidRPr="001446B2">
              <w:rPr>
                <w:rFonts w:ascii="Calibri" w:eastAsia="Times New Roman" w:hAnsi="Calibri" w:cs="Times New Roman"/>
                <w:bCs/>
                <w:iCs/>
              </w:rPr>
              <w:t>participant evaluations 73% extremely helpful/</w:t>
            </w:r>
            <w:r w:rsidR="00404364" w:rsidRPr="001446B2">
              <w:rPr>
                <w:rFonts w:ascii="Calibri" w:eastAsia="Times New Roman" w:hAnsi="Calibri" w:cs="Times New Roman"/>
                <w:bCs/>
                <w:iCs/>
              </w:rPr>
              <w:t>enjoyable</w:t>
            </w:r>
            <w:r w:rsidR="00F400CB" w:rsidRPr="001446B2">
              <w:rPr>
                <w:rFonts w:ascii="Calibri" w:eastAsia="Times New Roman" w:hAnsi="Calibri" w:cs="Times New Roman"/>
                <w:bCs/>
                <w:iCs/>
              </w:rPr>
              <w:t xml:space="preserve">; over 200 in attendance at Student Center and Foundation Building ribbon cuttings; </w:t>
            </w:r>
            <w:r w:rsidR="000A5BA7" w:rsidRPr="001446B2">
              <w:rPr>
                <w:rFonts w:ascii="Calibri" w:eastAsia="Times New Roman" w:hAnsi="Calibri" w:cs="Times New Roman"/>
                <w:bCs/>
                <w:iCs/>
              </w:rPr>
              <w:lastRenderedPageBreak/>
              <w:t>over 100 in attendance at CCR Summit</w:t>
            </w:r>
            <w:r w:rsidR="0078574D" w:rsidRPr="001446B2">
              <w:rPr>
                <w:rFonts w:ascii="Calibri" w:eastAsia="Times New Roman" w:hAnsi="Calibri" w:cs="Times New Roman"/>
                <w:bCs/>
                <w:iCs/>
              </w:rPr>
              <w:t>.</w:t>
            </w:r>
            <w:proofErr w:type="gramEnd"/>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lastRenderedPageBreak/>
              <w:t>Percent Completed</w:t>
            </w:r>
          </w:p>
        </w:tc>
        <w:tc>
          <w:tcPr>
            <w:tcW w:w="6683" w:type="dxa"/>
            <w:tcBorders>
              <w:top w:val="single" w:sz="2" w:space="0" w:color="auto"/>
              <w:left w:val="single" w:sz="6" w:space="0" w:color="auto"/>
              <w:bottom w:val="single" w:sz="2" w:space="0" w:color="auto"/>
            </w:tcBorders>
            <w:vAlign w:val="center"/>
          </w:tcPr>
          <w:p w:rsidR="00AC4788" w:rsidRPr="001446B2" w:rsidRDefault="0078574D" w:rsidP="008432B2">
            <w:pPr>
              <w:rPr>
                <w:rFonts w:ascii="Calibri" w:hAnsi="Calibri"/>
                <w:color w:val="000000"/>
              </w:rPr>
            </w:pPr>
            <w:r w:rsidRPr="001446B2">
              <w:rPr>
                <w:rFonts w:ascii="Calibri" w:hAnsi="Calibri"/>
                <w:color w:val="000000"/>
              </w:rPr>
              <w:t>100%</w:t>
            </w:r>
          </w:p>
        </w:tc>
      </w:tr>
      <w:tr w:rsidR="00AC4788"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AC4788" w:rsidRPr="001446B2" w:rsidRDefault="00B248BE" w:rsidP="000A5BA7">
            <w:pPr>
              <w:rPr>
                <w:rFonts w:ascii="Calibri" w:hAnsi="Calibri"/>
                <w:color w:val="000000"/>
              </w:rPr>
            </w:pPr>
            <w:r w:rsidRPr="001446B2">
              <w:rPr>
                <w:rFonts w:ascii="Calibri" w:eastAsia="Times New Roman" w:hAnsi="Calibri" w:cs="Times New Roman"/>
                <w:bCs/>
                <w:iCs/>
              </w:rPr>
              <w:t xml:space="preserve">Use attendance and event evaluation feedback to improve </w:t>
            </w:r>
            <w:r w:rsidR="000A5BA7" w:rsidRPr="001446B2">
              <w:rPr>
                <w:rFonts w:ascii="Calibri" w:eastAsia="Times New Roman" w:hAnsi="Calibri" w:cs="Times New Roman"/>
                <w:bCs/>
                <w:iCs/>
              </w:rPr>
              <w:t xml:space="preserve">future </w:t>
            </w:r>
            <w:r w:rsidRPr="001446B2">
              <w:rPr>
                <w:rFonts w:ascii="Calibri" w:eastAsia="Times New Roman" w:hAnsi="Calibri" w:cs="Times New Roman"/>
                <w:bCs/>
                <w:iCs/>
              </w:rPr>
              <w:t>event</w:t>
            </w:r>
            <w:r w:rsidR="000A5BA7" w:rsidRPr="001446B2">
              <w:rPr>
                <w:rFonts w:ascii="Calibri" w:eastAsia="Times New Roman" w:hAnsi="Calibri" w:cs="Times New Roman"/>
                <w:bCs/>
                <w:iCs/>
              </w:rPr>
              <w:t>s</w:t>
            </w:r>
            <w:r w:rsidRPr="001446B2">
              <w:rPr>
                <w:rFonts w:ascii="Calibri" w:eastAsia="Times New Roman" w:hAnsi="Calibri" w:cs="Times New Roman"/>
                <w:bCs/>
                <w:iCs/>
              </w:rPr>
              <w:t>.</w:t>
            </w:r>
          </w:p>
        </w:tc>
      </w:tr>
      <w:tr w:rsidR="00AC4788" w:rsidRPr="000B19E1" w:rsidTr="001446B2">
        <w:trPr>
          <w:trHeight w:val="360"/>
          <w:jc w:val="center"/>
        </w:trPr>
        <w:tc>
          <w:tcPr>
            <w:tcW w:w="2880" w:type="dxa"/>
            <w:tcBorders>
              <w:top w:val="single" w:sz="2" w:space="0" w:color="auto"/>
              <w:bottom w:val="double" w:sz="4" w:space="0" w:color="auto"/>
              <w:right w:val="single" w:sz="6" w:space="0" w:color="auto"/>
            </w:tcBorders>
            <w:vAlign w:val="center"/>
          </w:tcPr>
          <w:p w:rsidR="00AC4788" w:rsidRPr="001D23CF" w:rsidRDefault="00AC4788"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AC4788" w:rsidRPr="001446B2" w:rsidRDefault="00B248BE" w:rsidP="00040739">
            <w:pPr>
              <w:rPr>
                <w:rFonts w:ascii="Calibri" w:hAnsi="Calibri"/>
                <w:color w:val="000000"/>
              </w:rPr>
            </w:pPr>
            <w:r w:rsidRPr="001446B2">
              <w:rPr>
                <w:rFonts w:ascii="Calibri" w:eastAsia="Times New Roman" w:hAnsi="Calibri" w:cs="Times New Roman"/>
              </w:rPr>
              <w:t>Open Campus Day 201</w:t>
            </w:r>
            <w:r w:rsidR="0078574D" w:rsidRPr="001446B2">
              <w:rPr>
                <w:rFonts w:ascii="Calibri" w:eastAsia="Times New Roman" w:hAnsi="Calibri" w:cs="Times New Roman"/>
              </w:rPr>
              <w:t>1 well received – 50 businesse</w:t>
            </w:r>
            <w:r w:rsidR="007F75A0" w:rsidRPr="001446B2">
              <w:rPr>
                <w:rFonts w:ascii="Calibri" w:eastAsia="Times New Roman" w:hAnsi="Calibri" w:cs="Times New Roman"/>
              </w:rPr>
              <w:t>s represented, approximately 5</w:t>
            </w:r>
            <w:r w:rsidR="0078574D" w:rsidRPr="001446B2">
              <w:rPr>
                <w:rFonts w:ascii="Calibri" w:eastAsia="Times New Roman" w:hAnsi="Calibri" w:cs="Times New Roman"/>
              </w:rPr>
              <w:t xml:space="preserve">00 people </w:t>
            </w:r>
            <w:r w:rsidR="007F75A0" w:rsidRPr="001446B2">
              <w:rPr>
                <w:rFonts w:ascii="Calibri" w:eastAsia="Times New Roman" w:hAnsi="Calibri" w:cs="Times New Roman"/>
              </w:rPr>
              <w:t xml:space="preserve">visited campus, based on crowd estimates. </w:t>
            </w:r>
            <w:r w:rsidR="00A42943" w:rsidRPr="001446B2">
              <w:rPr>
                <w:rFonts w:ascii="Calibri" w:eastAsia="Times New Roman" w:hAnsi="Calibri" w:cs="Times New Roman"/>
              </w:rPr>
              <w:t xml:space="preserve">Over 200 people attended Student Center </w:t>
            </w:r>
            <w:r w:rsidR="000A5BA7" w:rsidRPr="001446B2">
              <w:rPr>
                <w:rFonts w:ascii="Calibri" w:eastAsia="Times New Roman" w:hAnsi="Calibri" w:cs="Times New Roman"/>
              </w:rPr>
              <w:t xml:space="preserve">and Foundation Building </w:t>
            </w:r>
            <w:r w:rsidR="00A42943" w:rsidRPr="001446B2">
              <w:rPr>
                <w:rFonts w:ascii="Calibri" w:eastAsia="Times New Roman" w:hAnsi="Calibri" w:cs="Times New Roman"/>
              </w:rPr>
              <w:t>grand opening</w:t>
            </w:r>
            <w:r w:rsidR="000A5BA7" w:rsidRPr="001446B2">
              <w:rPr>
                <w:rFonts w:ascii="Calibri" w:eastAsia="Times New Roman" w:hAnsi="Calibri" w:cs="Times New Roman"/>
              </w:rPr>
              <w:t>s; over 100 attended CCR, feedback very positive.</w:t>
            </w:r>
            <w:r w:rsidR="00A42943" w:rsidRPr="001446B2">
              <w:rPr>
                <w:rFonts w:ascii="Calibri" w:eastAsia="Times New Roman" w:hAnsi="Calibri" w:cs="Times New Roman"/>
              </w:rPr>
              <w:t xml:space="preserve"> </w:t>
            </w:r>
          </w:p>
        </w:tc>
      </w:tr>
      <w:tr w:rsidR="00AC4788" w:rsidRPr="000B19E1" w:rsidTr="001446B2">
        <w:trPr>
          <w:trHeight w:hRule="exact" w:val="144"/>
          <w:jc w:val="center"/>
        </w:trPr>
        <w:tc>
          <w:tcPr>
            <w:tcW w:w="2880" w:type="dxa"/>
            <w:tcBorders>
              <w:top w:val="double" w:sz="4" w:space="0" w:color="auto"/>
              <w:bottom w:val="double" w:sz="4" w:space="0" w:color="auto"/>
              <w:right w:val="nil"/>
            </w:tcBorders>
            <w:vAlign w:val="center"/>
          </w:tcPr>
          <w:p w:rsidR="00AC4788" w:rsidRPr="001D23CF" w:rsidRDefault="00AC4788" w:rsidP="008432B2">
            <w:pPr>
              <w:rPr>
                <w:b/>
                <w:smallCaps/>
                <w:spacing w:val="20"/>
              </w:rPr>
            </w:pPr>
          </w:p>
        </w:tc>
        <w:tc>
          <w:tcPr>
            <w:tcW w:w="6683" w:type="dxa"/>
            <w:tcBorders>
              <w:top w:val="double" w:sz="4" w:space="0" w:color="auto"/>
              <w:left w:val="nil"/>
              <w:bottom w:val="double" w:sz="4" w:space="0" w:color="auto"/>
            </w:tcBorders>
            <w:vAlign w:val="center"/>
          </w:tcPr>
          <w:p w:rsidR="00AC4788" w:rsidRPr="001446B2" w:rsidRDefault="00AC4788" w:rsidP="008432B2">
            <w:pPr>
              <w:rPr>
                <w:rFonts w:ascii="Calibri" w:hAnsi="Calibri"/>
                <w:color w:val="000000"/>
              </w:rPr>
            </w:pPr>
          </w:p>
        </w:tc>
      </w:tr>
      <w:tr w:rsidR="000658F9" w:rsidRPr="000B19E1" w:rsidTr="001446B2">
        <w:trPr>
          <w:trHeight w:val="360"/>
          <w:jc w:val="center"/>
        </w:trPr>
        <w:tc>
          <w:tcPr>
            <w:tcW w:w="2880" w:type="dxa"/>
            <w:tcBorders>
              <w:top w:val="double" w:sz="4" w:space="0" w:color="auto"/>
              <w:bottom w:val="single" w:sz="6" w:space="0" w:color="auto"/>
              <w:right w:val="single" w:sz="6" w:space="0" w:color="auto"/>
            </w:tcBorders>
            <w:vAlign w:val="center"/>
          </w:tcPr>
          <w:p w:rsidR="000658F9" w:rsidRPr="000658F9" w:rsidRDefault="000658F9" w:rsidP="008432B2">
            <w:pPr>
              <w:pStyle w:val="ListParagraph"/>
              <w:numPr>
                <w:ilvl w:val="0"/>
                <w:numId w:val="2"/>
              </w:numPr>
              <w:ind w:left="335" w:hanging="335"/>
              <w:rPr>
                <w:b/>
                <w:smallCaps/>
                <w:spacing w:val="20"/>
                <w:sz w:val="26"/>
                <w:szCs w:val="26"/>
              </w:rPr>
            </w:pPr>
            <w:r w:rsidRPr="000658F9">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0658F9" w:rsidRPr="001446B2" w:rsidRDefault="000658F9" w:rsidP="008432B2">
            <w:r w:rsidRPr="001446B2">
              <w:t>Advertising campaigns and free media publicity</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603B51" w:rsidRPr="001446B2" w:rsidRDefault="00A42943" w:rsidP="00603B51">
            <w:pPr>
              <w:rPr>
                <w:rFonts w:ascii="Calibri" w:hAnsi="Calibri"/>
                <w:color w:val="000000"/>
              </w:rPr>
            </w:pPr>
            <w:r w:rsidRPr="001446B2">
              <w:rPr>
                <w:rFonts w:ascii="Calibri" w:hAnsi="Calibri"/>
                <w:color w:val="000000"/>
              </w:rPr>
              <w:t xml:space="preserve">Jayne Flores </w:t>
            </w:r>
            <w:r w:rsidR="00603B51" w:rsidRPr="001446B2">
              <w:rPr>
                <w:rFonts w:ascii="Calibri" w:hAnsi="Calibri"/>
                <w:color w:val="000000"/>
              </w:rPr>
              <w:t>Assistant Director, Communications &amp; Promotions</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603B51" w:rsidRPr="001446B2" w:rsidRDefault="00A42943" w:rsidP="008432B2">
            <w:pPr>
              <w:rPr>
                <w:rFonts w:ascii="Calibri" w:hAnsi="Calibri"/>
                <w:color w:val="000000"/>
              </w:rPr>
            </w:pPr>
            <w:r w:rsidRPr="001446B2">
              <w:rPr>
                <w:rFonts w:ascii="Calibri" w:hAnsi="Calibri"/>
                <w:color w:val="000000"/>
              </w:rPr>
              <w:t>December 201</w:t>
            </w:r>
            <w:r w:rsidR="000A5BA7" w:rsidRPr="001446B2">
              <w:rPr>
                <w:rFonts w:ascii="Calibri" w:hAnsi="Calibri"/>
                <w:color w:val="000000"/>
              </w:rPr>
              <w:t>2</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603B51" w:rsidRPr="001446B2" w:rsidRDefault="00C15C95" w:rsidP="008432B2">
            <w:pPr>
              <w:rPr>
                <w:rFonts w:ascii="Calibri" w:hAnsi="Calibri"/>
                <w:color w:val="000000"/>
              </w:rPr>
            </w:pPr>
            <w:r w:rsidRPr="001446B2">
              <w:rPr>
                <w:rFonts w:ascii="Calibri" w:hAnsi="Calibri"/>
                <w:color w:val="000000"/>
              </w:rPr>
              <w:t>Completed</w:t>
            </w:r>
            <w:r w:rsidR="00A42943" w:rsidRPr="001446B2">
              <w:rPr>
                <w:rFonts w:ascii="Calibri" w:hAnsi="Calibri"/>
                <w:color w:val="000000"/>
              </w:rPr>
              <w:t xml:space="preserve"> for 2011, ongoing for 2012</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603B51" w:rsidRPr="001446B2" w:rsidRDefault="004C4F39" w:rsidP="008857C0">
            <w:pPr>
              <w:rPr>
                <w:rFonts w:ascii="Calibri" w:hAnsi="Calibri"/>
                <w:color w:val="000000"/>
              </w:rPr>
            </w:pPr>
            <w:r w:rsidRPr="001446B2">
              <w:rPr>
                <w:rFonts w:ascii="Calibri" w:hAnsi="Calibri"/>
                <w:color w:val="000000"/>
              </w:rPr>
              <w:t>2.34%</w:t>
            </w:r>
            <w:r w:rsidR="00A42943" w:rsidRPr="001446B2">
              <w:rPr>
                <w:rFonts w:ascii="Calibri" w:hAnsi="Calibri"/>
                <w:color w:val="000000"/>
              </w:rPr>
              <w:t xml:space="preserve"> percent </w:t>
            </w:r>
            <w:r w:rsidR="00603B51" w:rsidRPr="001446B2">
              <w:rPr>
                <w:rFonts w:ascii="Calibri" w:hAnsi="Calibri"/>
                <w:color w:val="000000"/>
              </w:rPr>
              <w:t xml:space="preserve">Increase in enrollment from </w:t>
            </w:r>
            <w:r w:rsidR="00A42943" w:rsidRPr="001446B2">
              <w:rPr>
                <w:rFonts w:ascii="Calibri" w:hAnsi="Calibri"/>
                <w:color w:val="000000"/>
              </w:rPr>
              <w:t>Fall 2010 to Fall 2011</w:t>
            </w:r>
            <w:proofErr w:type="gramStart"/>
            <w:r w:rsidR="008857C0" w:rsidRPr="001446B2">
              <w:rPr>
                <w:rFonts w:ascii="Calibri" w:hAnsi="Calibri"/>
                <w:color w:val="000000"/>
              </w:rPr>
              <w:t>;</w:t>
            </w:r>
            <w:proofErr w:type="gramEnd"/>
            <w:r w:rsidR="008857C0" w:rsidRPr="001446B2">
              <w:rPr>
                <w:rFonts w:ascii="Calibri" w:hAnsi="Calibri"/>
                <w:color w:val="000000"/>
              </w:rPr>
              <w:t xml:space="preserve"> Fall 2011 – Fall 2012 enrollment virtually steady. N</w:t>
            </w:r>
            <w:r w:rsidR="000961E6" w:rsidRPr="001446B2">
              <w:rPr>
                <w:rFonts w:ascii="Calibri" w:hAnsi="Calibri"/>
                <w:color w:val="000000"/>
              </w:rPr>
              <w:t>umber of Google hits</w:t>
            </w:r>
            <w:r w:rsidR="000D156F" w:rsidRPr="001446B2">
              <w:rPr>
                <w:rFonts w:ascii="Calibri" w:hAnsi="Calibri"/>
                <w:color w:val="000000"/>
              </w:rPr>
              <w:t xml:space="preserve"> from media releases and media mentions of GCC</w:t>
            </w:r>
            <w:r w:rsidR="000961E6" w:rsidRPr="001446B2">
              <w:rPr>
                <w:rFonts w:ascii="Calibri" w:hAnsi="Calibri"/>
                <w:color w:val="000000"/>
              </w:rPr>
              <w:t xml:space="preserve">: </w:t>
            </w:r>
            <w:r w:rsidR="000D156F" w:rsidRPr="001446B2">
              <w:rPr>
                <w:rFonts w:ascii="Calibri" w:hAnsi="Calibri"/>
                <w:color w:val="000000"/>
              </w:rPr>
              <w:t xml:space="preserve">528 (approximately </w:t>
            </w:r>
            <w:r w:rsidR="00040739" w:rsidRPr="001446B2">
              <w:rPr>
                <w:rFonts w:ascii="Calibri" w:hAnsi="Calibri"/>
                <w:color w:val="000000"/>
              </w:rPr>
              <w:t>44 hits about GCC per month).</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603B51" w:rsidRPr="001446B2" w:rsidRDefault="004C49D3" w:rsidP="008432B2">
            <w:pPr>
              <w:rPr>
                <w:rFonts w:ascii="Calibri" w:hAnsi="Calibri"/>
                <w:color w:val="000000"/>
              </w:rPr>
            </w:pPr>
            <w:r w:rsidRPr="001446B2">
              <w:rPr>
                <w:rFonts w:ascii="Calibri" w:hAnsi="Calibri"/>
                <w:color w:val="000000"/>
              </w:rPr>
              <w:t>80</w:t>
            </w:r>
            <w:r w:rsidR="00C15C95" w:rsidRPr="001446B2">
              <w:rPr>
                <w:rFonts w:ascii="Calibri" w:hAnsi="Calibri"/>
                <w:color w:val="000000"/>
              </w:rPr>
              <w:t>% completed for 201</w:t>
            </w:r>
            <w:r w:rsidRPr="001446B2">
              <w:rPr>
                <w:rFonts w:ascii="Calibri" w:hAnsi="Calibri"/>
                <w:color w:val="000000"/>
              </w:rPr>
              <w:t>2</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603B51" w:rsidRPr="001446B2" w:rsidRDefault="00603B51" w:rsidP="004C49D3">
            <w:pPr>
              <w:rPr>
                <w:rFonts w:ascii="Calibri" w:hAnsi="Calibri"/>
                <w:color w:val="000000"/>
              </w:rPr>
            </w:pPr>
            <w:r w:rsidRPr="001446B2">
              <w:rPr>
                <w:rFonts w:ascii="Calibri" w:eastAsia="Times New Roman" w:hAnsi="Calibri" w:cs="Times New Roman"/>
                <w:bCs/>
                <w:iCs/>
              </w:rPr>
              <w:t xml:space="preserve">Assess effectiveness of ad campaigns on enrollment and positive student perception </w:t>
            </w:r>
            <w:r w:rsidR="00C15C95" w:rsidRPr="001446B2">
              <w:rPr>
                <w:rFonts w:ascii="Calibri" w:eastAsia="Times New Roman" w:hAnsi="Calibri" w:cs="Times New Roman"/>
                <w:bCs/>
                <w:iCs/>
              </w:rPr>
              <w:t>of GCC through feedback on Face</w:t>
            </w:r>
            <w:r w:rsidRPr="001446B2">
              <w:rPr>
                <w:rFonts w:ascii="Calibri" w:eastAsia="Times New Roman" w:hAnsi="Calibri" w:cs="Times New Roman"/>
                <w:bCs/>
                <w:iCs/>
              </w:rPr>
              <w:t>book</w:t>
            </w:r>
            <w:r w:rsidR="004C49D3" w:rsidRPr="001446B2">
              <w:rPr>
                <w:rFonts w:ascii="Calibri" w:eastAsia="Times New Roman" w:hAnsi="Calibri" w:cs="Times New Roman"/>
                <w:bCs/>
                <w:iCs/>
              </w:rPr>
              <w:t>,</w:t>
            </w:r>
            <w:r w:rsidRPr="001446B2">
              <w:rPr>
                <w:rFonts w:ascii="Calibri" w:eastAsia="Times New Roman" w:hAnsi="Calibri" w:cs="Times New Roman"/>
                <w:bCs/>
                <w:iCs/>
              </w:rPr>
              <w:t xml:space="preserve"> student survey used during enrollment</w:t>
            </w:r>
            <w:r w:rsidR="00B213B3" w:rsidRPr="001446B2">
              <w:rPr>
                <w:rFonts w:ascii="Calibri" w:eastAsia="Times New Roman" w:hAnsi="Calibri" w:cs="Times New Roman"/>
                <w:bCs/>
                <w:iCs/>
              </w:rPr>
              <w:t xml:space="preserve"> and student conferences</w:t>
            </w:r>
            <w:r w:rsidR="004C49D3" w:rsidRPr="001446B2">
              <w:rPr>
                <w:rFonts w:ascii="Calibri" w:eastAsia="Times New Roman" w:hAnsi="Calibri" w:cs="Times New Roman"/>
                <w:bCs/>
                <w:iCs/>
              </w:rPr>
              <w:t xml:space="preserve">, and survey questions on front page of web site. </w:t>
            </w:r>
          </w:p>
        </w:tc>
      </w:tr>
      <w:tr w:rsidR="00603B51"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603B51" w:rsidRPr="001D23CF" w:rsidRDefault="00603B51"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4C49D3" w:rsidRPr="001446B2" w:rsidRDefault="00C15C95" w:rsidP="00C15C95">
            <w:pPr>
              <w:rPr>
                <w:rFonts w:ascii="Calibri" w:eastAsia="Times New Roman" w:hAnsi="Calibri" w:cs="Times New Roman"/>
                <w:bCs/>
                <w:iCs/>
              </w:rPr>
            </w:pPr>
            <w:proofErr w:type="gramStart"/>
            <w:r w:rsidRPr="001446B2">
              <w:rPr>
                <w:rFonts w:ascii="Calibri" w:eastAsia="Times New Roman" w:hAnsi="Calibri" w:cs="Times New Roman"/>
              </w:rPr>
              <w:t xml:space="preserve">Did not develop </w:t>
            </w:r>
            <w:r w:rsidR="00603B51" w:rsidRPr="001446B2">
              <w:rPr>
                <w:rFonts w:ascii="Calibri" w:eastAsia="Times New Roman" w:hAnsi="Calibri" w:cs="Times New Roman"/>
              </w:rPr>
              <w:t>student survey for Fall 2011 enrollment measuring effectiveness of advertisements in getting students to enroll for classes.</w:t>
            </w:r>
            <w:proofErr w:type="gramEnd"/>
            <w:r w:rsidR="004C4F39" w:rsidRPr="001446B2">
              <w:rPr>
                <w:rFonts w:ascii="Calibri" w:eastAsia="Times New Roman" w:hAnsi="Calibri" w:cs="Times New Roman"/>
              </w:rPr>
              <w:t xml:space="preserve"> </w:t>
            </w:r>
            <w:r w:rsidR="004C49D3" w:rsidRPr="001446B2">
              <w:rPr>
                <w:rFonts w:ascii="Calibri" w:eastAsia="Times New Roman" w:hAnsi="Calibri" w:cs="Times New Roman"/>
              </w:rPr>
              <w:t xml:space="preserve">Survey conducted on perceptions of GCC during March 2012 student conference. Results indicate </w:t>
            </w:r>
            <w:r w:rsidR="004C49D3" w:rsidRPr="001446B2">
              <w:rPr>
                <w:rFonts w:ascii="Calibri" w:eastAsia="Times New Roman" w:hAnsi="Calibri" w:cs="Times New Roman"/>
                <w:bCs/>
                <w:iCs/>
              </w:rPr>
              <w:t>Survey results indicate nearly 90% approval rating for GCC.</w:t>
            </w:r>
          </w:p>
          <w:p w:rsidR="00603B51" w:rsidRPr="001446B2" w:rsidRDefault="004C4F39" w:rsidP="00C15C95">
            <w:pPr>
              <w:rPr>
                <w:rFonts w:ascii="Calibri" w:hAnsi="Calibri"/>
                <w:color w:val="000000"/>
              </w:rPr>
            </w:pPr>
            <w:r w:rsidRPr="001446B2">
              <w:rPr>
                <w:rFonts w:ascii="Calibri" w:eastAsia="Times New Roman" w:hAnsi="Calibri" w:cs="Times New Roman"/>
              </w:rPr>
              <w:t>Minimal feedback on Facebook; students use mostly for inquiries.</w:t>
            </w:r>
            <w:r w:rsidR="0005504C" w:rsidRPr="001446B2">
              <w:rPr>
                <w:rFonts w:ascii="Calibri" w:eastAsia="Times New Roman" w:hAnsi="Calibri" w:cs="Times New Roman"/>
              </w:rPr>
              <w:t xml:space="preserve"> Web site polling revealed 72 percent excellent rating for new web site.</w:t>
            </w:r>
          </w:p>
        </w:tc>
      </w:tr>
    </w:tbl>
    <w:p w:rsidR="00803DB2" w:rsidRDefault="00803DB2" w:rsidP="004B42E6"/>
    <w:p w:rsidR="00803DB2" w:rsidRDefault="00803DB2">
      <w:r>
        <w:br w:type="page"/>
      </w:r>
    </w:p>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253"/>
        <w:gridCol w:w="7547"/>
      </w:tblGrid>
      <w:tr w:rsidR="00803DB2" w:rsidRPr="000B19E1" w:rsidTr="001446B2">
        <w:trPr>
          <w:trHeight w:hRule="exact" w:val="1440"/>
          <w:tblHeader/>
          <w:jc w:val="center"/>
        </w:trPr>
        <w:tc>
          <w:tcPr>
            <w:tcW w:w="2880" w:type="dxa"/>
            <w:tcBorders>
              <w:top w:val="single" w:sz="6" w:space="0" w:color="auto"/>
              <w:bottom w:val="single" w:sz="2" w:space="0" w:color="auto"/>
              <w:right w:val="single" w:sz="6" w:space="0" w:color="auto"/>
            </w:tcBorders>
            <w:shd w:val="clear" w:color="auto" w:fill="DBE5F1" w:themeFill="accent1" w:themeFillTint="33"/>
            <w:vAlign w:val="center"/>
          </w:tcPr>
          <w:p w:rsidR="00803DB2" w:rsidRPr="00FC7DB9" w:rsidRDefault="00803DB2" w:rsidP="008432B2">
            <w:pPr>
              <w:jc w:val="center"/>
              <w:rPr>
                <w:b/>
                <w:spacing w:val="100"/>
                <w:sz w:val="24"/>
                <w:szCs w:val="24"/>
              </w:rPr>
            </w:pPr>
            <w:r w:rsidRPr="00FC7DB9">
              <w:rPr>
                <w:b/>
                <w:spacing w:val="100"/>
                <w:sz w:val="24"/>
                <w:szCs w:val="24"/>
              </w:rPr>
              <w:lastRenderedPageBreak/>
              <w:t>TASK</w:t>
            </w:r>
            <w:r>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803DB2" w:rsidRPr="00722BDF" w:rsidRDefault="00803DB2" w:rsidP="008432B2">
            <w:pPr>
              <w:rPr>
                <w:caps/>
                <w:sz w:val="24"/>
                <w:szCs w:val="24"/>
              </w:rPr>
            </w:pPr>
            <w:r>
              <w:rPr>
                <w:caps/>
                <w:sz w:val="24"/>
                <w:szCs w:val="24"/>
              </w:rPr>
              <w:t>Grow programs, go green, Give now – (Office of Development &amp; Alumni Relations Branding Campaign)</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5B0D25" w:rsidRDefault="00803DB2" w:rsidP="00803DB2">
            <w:pPr>
              <w:pStyle w:val="ListParagraph"/>
              <w:numPr>
                <w:ilvl w:val="0"/>
                <w:numId w:val="3"/>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r w:rsidRPr="001446B2">
              <w:rPr>
                <w:rFonts w:ascii="Calibri" w:hAnsi="Calibri"/>
                <w:color w:val="000000"/>
              </w:rPr>
              <w:t>Grow Programs</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Data Control Clerk</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2009-2014</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Increase in grant funding, scholarship donations or endowments, increase in in-kind contributions, increase in workforce development and training projects through grant funding and partnerships</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45% </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Pursue grants that support academic programs – faculty training/education, construction of new buildings that will house large programs.  Continue to solicit companies or meet with businesses </w:t>
            </w:r>
            <w:r w:rsidR="00632F8F" w:rsidRPr="001446B2">
              <w:rPr>
                <w:rFonts w:ascii="Calibri" w:hAnsi="Calibri"/>
                <w:color w:val="000000"/>
              </w:rPr>
              <w:t>that</w:t>
            </w:r>
            <w:r w:rsidRPr="001446B2">
              <w:rPr>
                <w:rFonts w:ascii="Calibri" w:hAnsi="Calibri"/>
                <w:color w:val="000000"/>
              </w:rPr>
              <w:t xml:space="preserve"> are willing to make in-kind donations of supplies, materials, </w:t>
            </w:r>
            <w:proofErr w:type="gramStart"/>
            <w:r w:rsidRPr="001446B2">
              <w:rPr>
                <w:rFonts w:ascii="Calibri" w:hAnsi="Calibri"/>
                <w:color w:val="000000"/>
              </w:rPr>
              <w:t>equipment</w:t>
            </w:r>
            <w:proofErr w:type="gramEnd"/>
            <w:r w:rsidRPr="001446B2">
              <w:rPr>
                <w:rFonts w:ascii="Calibri" w:hAnsi="Calibri"/>
                <w:color w:val="000000"/>
              </w:rPr>
              <w:t xml:space="preserve"> or other program needs.  Continue to foster relationships with professional associations and non-profit groups to provide scholarship opportunities for future and current students that attend GCC. </w:t>
            </w:r>
          </w:p>
        </w:tc>
      </w:tr>
      <w:tr w:rsidR="00803DB2" w:rsidRPr="000B19E1" w:rsidTr="001446B2">
        <w:trPr>
          <w:trHeight w:val="360"/>
          <w:jc w:val="center"/>
        </w:trPr>
        <w:tc>
          <w:tcPr>
            <w:tcW w:w="2880" w:type="dxa"/>
            <w:tcBorders>
              <w:top w:val="single" w:sz="2" w:space="0" w:color="auto"/>
              <w:bottom w:val="doub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hRule="exact" w:val="144"/>
          <w:jc w:val="center"/>
        </w:trPr>
        <w:tc>
          <w:tcPr>
            <w:tcW w:w="2880" w:type="dxa"/>
            <w:tcBorders>
              <w:top w:val="double" w:sz="2" w:space="0" w:color="auto"/>
              <w:bottom w:val="double" w:sz="2" w:space="0" w:color="auto"/>
              <w:right w:val="nil"/>
            </w:tcBorders>
            <w:vAlign w:val="center"/>
          </w:tcPr>
          <w:p w:rsidR="00803DB2" w:rsidRPr="001D23CF" w:rsidRDefault="00803DB2" w:rsidP="008432B2">
            <w:pPr>
              <w:rPr>
                <w:b/>
                <w:smallCaps/>
                <w:spacing w:val="20"/>
              </w:rPr>
            </w:pPr>
          </w:p>
        </w:tc>
        <w:tc>
          <w:tcPr>
            <w:tcW w:w="6683" w:type="dxa"/>
            <w:tcBorders>
              <w:top w:val="double" w:sz="2" w:space="0" w:color="auto"/>
              <w:left w:val="nil"/>
              <w:bottom w:val="double" w:sz="2"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val="360"/>
          <w:jc w:val="center"/>
        </w:trPr>
        <w:tc>
          <w:tcPr>
            <w:tcW w:w="2880" w:type="dxa"/>
            <w:tcBorders>
              <w:top w:val="double" w:sz="2" w:space="0" w:color="auto"/>
              <w:bottom w:val="single" w:sz="2" w:space="0" w:color="auto"/>
              <w:right w:val="single" w:sz="6" w:space="0" w:color="auto"/>
            </w:tcBorders>
            <w:vAlign w:val="center"/>
          </w:tcPr>
          <w:p w:rsidR="00803DB2" w:rsidRPr="005B0D25" w:rsidRDefault="00803DB2" w:rsidP="00803DB2">
            <w:pPr>
              <w:pStyle w:val="ListParagraph"/>
              <w:numPr>
                <w:ilvl w:val="0"/>
                <w:numId w:val="3"/>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803DB2" w:rsidRPr="001446B2" w:rsidRDefault="00803DB2" w:rsidP="008432B2">
            <w:r w:rsidRPr="001446B2">
              <w:rPr>
                <w:rFonts w:ascii="Calibri" w:eastAsia="Times New Roman" w:hAnsi="Calibri" w:cs="Times New Roman"/>
              </w:rPr>
              <w:t>Go Green</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Data Control Clerk</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2009-2014</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632F8F">
            <w:pPr>
              <w:rPr>
                <w:rFonts w:ascii="Calibri" w:hAnsi="Calibri"/>
                <w:color w:val="000000"/>
              </w:rPr>
            </w:pPr>
            <w:r w:rsidRPr="001446B2">
              <w:rPr>
                <w:rFonts w:ascii="Calibri" w:hAnsi="Calibri"/>
                <w:color w:val="000000"/>
              </w:rPr>
              <w:t xml:space="preserve"> Number of special events that help support “Green” initiatives such as clean-ups and recycling drives, record of “Green” initiatives that were implemented at each event (i.e. recycling efforts, use of environmentally friendly tableware at events that serve food, the use of thumb-drives instead of paper documents, etc.).</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Pursue more grant funding for renewable energy projects on Campus, plan more “Green” events using faculty, staff, students, alumni, donors and Eco-Warriors as volunteers. Implement Green initiatives at every event. Use of </w:t>
            </w:r>
            <w:proofErr w:type="gramStart"/>
            <w:r w:rsidRPr="001446B2">
              <w:rPr>
                <w:rFonts w:ascii="Calibri" w:hAnsi="Calibri"/>
                <w:color w:val="000000"/>
              </w:rPr>
              <w:t>DAR’s</w:t>
            </w:r>
            <w:proofErr w:type="gramEnd"/>
            <w:r w:rsidRPr="001446B2">
              <w:rPr>
                <w:rFonts w:ascii="Calibri" w:hAnsi="Calibri"/>
                <w:color w:val="000000"/>
              </w:rPr>
              <w:t xml:space="preserve"> consolidated Case Statement instead of multiple printed brochures as previously used in the past. </w:t>
            </w:r>
          </w:p>
        </w:tc>
      </w:tr>
      <w:tr w:rsidR="00803DB2" w:rsidRPr="000B19E1" w:rsidTr="001446B2">
        <w:trPr>
          <w:trHeight w:val="360"/>
          <w:jc w:val="center"/>
        </w:trPr>
        <w:tc>
          <w:tcPr>
            <w:tcW w:w="2880" w:type="dxa"/>
            <w:tcBorders>
              <w:top w:val="single" w:sz="2" w:space="0" w:color="auto"/>
              <w:bottom w:val="double" w:sz="4"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hRule="exact" w:val="144"/>
          <w:jc w:val="center"/>
        </w:trPr>
        <w:tc>
          <w:tcPr>
            <w:tcW w:w="2880" w:type="dxa"/>
            <w:tcBorders>
              <w:top w:val="double" w:sz="4" w:space="0" w:color="auto"/>
              <w:bottom w:val="double" w:sz="4" w:space="0" w:color="auto"/>
              <w:right w:val="nil"/>
            </w:tcBorders>
            <w:vAlign w:val="center"/>
          </w:tcPr>
          <w:p w:rsidR="00803DB2" w:rsidRPr="001D23CF" w:rsidRDefault="00803DB2" w:rsidP="008432B2">
            <w:pPr>
              <w:rPr>
                <w:b/>
                <w:smallCaps/>
                <w:spacing w:val="20"/>
              </w:rPr>
            </w:pPr>
          </w:p>
        </w:tc>
        <w:tc>
          <w:tcPr>
            <w:tcW w:w="6683" w:type="dxa"/>
            <w:tcBorders>
              <w:top w:val="double" w:sz="4" w:space="0" w:color="auto"/>
              <w:left w:val="nil"/>
              <w:bottom w:val="double" w:sz="4"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val="360"/>
          <w:jc w:val="center"/>
        </w:trPr>
        <w:tc>
          <w:tcPr>
            <w:tcW w:w="2880" w:type="dxa"/>
            <w:tcBorders>
              <w:top w:val="double" w:sz="4" w:space="0" w:color="auto"/>
              <w:bottom w:val="single" w:sz="6" w:space="0" w:color="auto"/>
              <w:right w:val="single" w:sz="6" w:space="0" w:color="auto"/>
            </w:tcBorders>
            <w:vAlign w:val="center"/>
          </w:tcPr>
          <w:p w:rsidR="00803DB2" w:rsidRPr="005B0D25" w:rsidRDefault="00803DB2" w:rsidP="00803DB2">
            <w:pPr>
              <w:pStyle w:val="ListParagraph"/>
              <w:numPr>
                <w:ilvl w:val="0"/>
                <w:numId w:val="3"/>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803DB2" w:rsidRPr="001446B2" w:rsidRDefault="00803DB2" w:rsidP="008432B2">
            <w:r w:rsidRPr="001446B2">
              <w:rPr>
                <w:rFonts w:ascii="Calibri" w:eastAsia="Times New Roman" w:hAnsi="Calibri" w:cs="Times New Roman"/>
              </w:rPr>
              <w:t>Give Now</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Data Control Clerk</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2009-2014</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lastRenderedPageBreak/>
              <w:t>Status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Increase in revenue from Workplace Giving program, increase in the number of staff and administrators who participate in this payroll deduction program, increase in the number and revenue from donors in the Naming Opportunity Program, </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Reach goal of 95-100% participation of GCC faculty, staff, and administrators in Workplace Giving program,  Encourage current donors to participate in Naming Opportunity Program, educate donors through Case Statement, set up meetings with potential donors to provide opportunities to give, present to Alumni as a class or individually on how they can give back to the College</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p>
        </w:tc>
      </w:tr>
    </w:tbl>
    <w:p w:rsidR="003A4CF5" w:rsidRDefault="003A4CF5" w:rsidP="004B42E6"/>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253"/>
        <w:gridCol w:w="7547"/>
      </w:tblGrid>
      <w:tr w:rsidR="00803DB2" w:rsidRPr="000B19E1" w:rsidTr="001446B2">
        <w:trPr>
          <w:trHeight w:hRule="exact" w:val="1440"/>
          <w:tblHeader/>
          <w:jc w:val="center"/>
        </w:trPr>
        <w:tc>
          <w:tcPr>
            <w:tcW w:w="2880" w:type="dxa"/>
            <w:tcBorders>
              <w:top w:val="single" w:sz="6" w:space="0" w:color="auto"/>
              <w:bottom w:val="single" w:sz="2" w:space="0" w:color="auto"/>
              <w:right w:val="single" w:sz="6" w:space="0" w:color="auto"/>
            </w:tcBorders>
            <w:shd w:val="clear" w:color="auto" w:fill="DBE5F1" w:themeFill="accent1" w:themeFillTint="33"/>
            <w:vAlign w:val="center"/>
          </w:tcPr>
          <w:p w:rsidR="00803DB2" w:rsidRPr="00FC7DB9" w:rsidRDefault="00803DB2" w:rsidP="008432B2">
            <w:pPr>
              <w:jc w:val="center"/>
              <w:rPr>
                <w:b/>
                <w:spacing w:val="100"/>
                <w:sz w:val="24"/>
                <w:szCs w:val="24"/>
              </w:rPr>
            </w:pPr>
            <w:r w:rsidRPr="00FC7DB9">
              <w:rPr>
                <w:b/>
                <w:spacing w:val="100"/>
                <w:sz w:val="24"/>
                <w:szCs w:val="24"/>
              </w:rPr>
              <w:t>TASK</w:t>
            </w:r>
            <w:r>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803DB2" w:rsidRPr="00722BDF" w:rsidRDefault="00803DB2" w:rsidP="008432B2">
            <w:pPr>
              <w:rPr>
                <w:caps/>
                <w:sz w:val="24"/>
                <w:szCs w:val="24"/>
              </w:rPr>
            </w:pPr>
            <w:r>
              <w:rPr>
                <w:caps/>
                <w:sz w:val="24"/>
                <w:szCs w:val="24"/>
              </w:rPr>
              <w:t>Create an employer, donor and alumni outreach program</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5B0D25" w:rsidRDefault="00803DB2" w:rsidP="00803DB2">
            <w:pPr>
              <w:pStyle w:val="ListParagraph"/>
              <w:numPr>
                <w:ilvl w:val="0"/>
                <w:numId w:val="4"/>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r w:rsidRPr="001446B2">
              <w:rPr>
                <w:rFonts w:ascii="Calibri" w:eastAsia="Times New Roman" w:hAnsi="Calibri" w:cs="Times New Roman"/>
              </w:rPr>
              <w:t>Employer Outreach</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and Data Control Clerk</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2009-2014 </w:t>
            </w:r>
          </w:p>
        </w:tc>
      </w:tr>
      <w:tr w:rsidR="00803DB2" w:rsidRPr="000B19E1" w:rsidTr="001446B2">
        <w:trPr>
          <w:trHeight w:val="31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Number of apprenticeship program employers who provide in-kind contributions, scholarship funding,  sponsorships of special events by employers, </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Increase number of employers who become constituents to the College, provide opportunities for employers to see what GCC has to offer in the way of training, provide information to </w:t>
            </w:r>
            <w:r w:rsidR="00632F8F" w:rsidRPr="001446B2">
              <w:rPr>
                <w:rFonts w:ascii="Calibri" w:hAnsi="Calibri"/>
                <w:color w:val="000000"/>
              </w:rPr>
              <w:t>employers,</w:t>
            </w:r>
            <w:r w:rsidRPr="001446B2">
              <w:rPr>
                <w:rFonts w:ascii="Calibri" w:hAnsi="Calibri"/>
                <w:color w:val="000000"/>
              </w:rPr>
              <w:t xml:space="preserve"> seek grant funding which allows employers to </w:t>
            </w:r>
            <w:proofErr w:type="gramStart"/>
            <w:r w:rsidRPr="001446B2">
              <w:rPr>
                <w:rFonts w:ascii="Calibri" w:hAnsi="Calibri"/>
                <w:color w:val="000000"/>
              </w:rPr>
              <w:t>partner</w:t>
            </w:r>
            <w:proofErr w:type="gramEnd"/>
            <w:r w:rsidRPr="001446B2">
              <w:rPr>
                <w:rFonts w:ascii="Calibri" w:hAnsi="Calibri"/>
                <w:color w:val="000000"/>
              </w:rPr>
              <w:t xml:space="preserve"> with GCC.</w:t>
            </w:r>
          </w:p>
        </w:tc>
      </w:tr>
      <w:tr w:rsidR="00803DB2" w:rsidRPr="000B19E1" w:rsidTr="001446B2">
        <w:trPr>
          <w:trHeight w:val="360"/>
          <w:jc w:val="center"/>
        </w:trPr>
        <w:tc>
          <w:tcPr>
            <w:tcW w:w="2880" w:type="dxa"/>
            <w:tcBorders>
              <w:top w:val="single" w:sz="2" w:space="0" w:color="auto"/>
              <w:bottom w:val="doub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hRule="exact" w:val="144"/>
          <w:jc w:val="center"/>
        </w:trPr>
        <w:tc>
          <w:tcPr>
            <w:tcW w:w="2880" w:type="dxa"/>
            <w:tcBorders>
              <w:top w:val="double" w:sz="2" w:space="0" w:color="auto"/>
              <w:bottom w:val="double" w:sz="2" w:space="0" w:color="auto"/>
              <w:right w:val="nil"/>
            </w:tcBorders>
            <w:vAlign w:val="center"/>
          </w:tcPr>
          <w:p w:rsidR="00803DB2" w:rsidRPr="001D23CF" w:rsidRDefault="00803DB2" w:rsidP="008432B2">
            <w:pPr>
              <w:rPr>
                <w:b/>
                <w:smallCaps/>
                <w:spacing w:val="20"/>
              </w:rPr>
            </w:pPr>
          </w:p>
        </w:tc>
        <w:tc>
          <w:tcPr>
            <w:tcW w:w="6683" w:type="dxa"/>
            <w:tcBorders>
              <w:top w:val="double" w:sz="2" w:space="0" w:color="auto"/>
              <w:left w:val="nil"/>
              <w:bottom w:val="double" w:sz="2"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val="360"/>
          <w:jc w:val="center"/>
        </w:trPr>
        <w:tc>
          <w:tcPr>
            <w:tcW w:w="2880" w:type="dxa"/>
            <w:tcBorders>
              <w:top w:val="double" w:sz="2" w:space="0" w:color="auto"/>
              <w:bottom w:val="single" w:sz="2" w:space="0" w:color="auto"/>
              <w:right w:val="single" w:sz="6" w:space="0" w:color="auto"/>
            </w:tcBorders>
            <w:vAlign w:val="center"/>
          </w:tcPr>
          <w:p w:rsidR="00803DB2" w:rsidRPr="005B0D25" w:rsidRDefault="00803DB2" w:rsidP="00803DB2">
            <w:pPr>
              <w:pStyle w:val="ListParagraph"/>
              <w:numPr>
                <w:ilvl w:val="0"/>
                <w:numId w:val="4"/>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803DB2" w:rsidRPr="001446B2" w:rsidRDefault="00803DB2" w:rsidP="008432B2">
            <w:r w:rsidRPr="001446B2">
              <w:t>Donor Outreach</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and Data Control Clerk</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2009-2014  </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lastRenderedPageBreak/>
              <w:t>Performance Measure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Increase in number of new donors, increase in donor contributions – endowment, scholarships, naming opportunity and in-kind contributions.  </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Plan meetings with prospective donors, invite donors to campus events, provide prospective donors with consolidated Case statement and Chachalani to see what GCC has to offer.</w:t>
            </w:r>
          </w:p>
        </w:tc>
      </w:tr>
      <w:tr w:rsidR="00803DB2" w:rsidRPr="000B19E1" w:rsidTr="001446B2">
        <w:trPr>
          <w:trHeight w:val="360"/>
          <w:jc w:val="center"/>
        </w:trPr>
        <w:tc>
          <w:tcPr>
            <w:tcW w:w="2880" w:type="dxa"/>
            <w:tcBorders>
              <w:top w:val="single" w:sz="2" w:space="0" w:color="auto"/>
              <w:bottom w:val="double" w:sz="4"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hRule="exact" w:val="144"/>
          <w:jc w:val="center"/>
        </w:trPr>
        <w:tc>
          <w:tcPr>
            <w:tcW w:w="2880" w:type="dxa"/>
            <w:tcBorders>
              <w:top w:val="double" w:sz="4" w:space="0" w:color="auto"/>
              <w:bottom w:val="double" w:sz="4" w:space="0" w:color="auto"/>
              <w:right w:val="nil"/>
            </w:tcBorders>
            <w:vAlign w:val="center"/>
          </w:tcPr>
          <w:p w:rsidR="00803DB2" w:rsidRPr="001D23CF" w:rsidRDefault="00803DB2" w:rsidP="008432B2">
            <w:pPr>
              <w:rPr>
                <w:b/>
                <w:smallCaps/>
                <w:spacing w:val="20"/>
              </w:rPr>
            </w:pPr>
          </w:p>
        </w:tc>
        <w:tc>
          <w:tcPr>
            <w:tcW w:w="6683" w:type="dxa"/>
            <w:tcBorders>
              <w:top w:val="double" w:sz="4" w:space="0" w:color="auto"/>
              <w:left w:val="nil"/>
              <w:bottom w:val="double" w:sz="4"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val="360"/>
          <w:jc w:val="center"/>
        </w:trPr>
        <w:tc>
          <w:tcPr>
            <w:tcW w:w="2880" w:type="dxa"/>
            <w:tcBorders>
              <w:top w:val="double" w:sz="4" w:space="0" w:color="auto"/>
              <w:bottom w:val="single" w:sz="6" w:space="0" w:color="auto"/>
              <w:right w:val="single" w:sz="6" w:space="0" w:color="auto"/>
            </w:tcBorders>
            <w:vAlign w:val="center"/>
          </w:tcPr>
          <w:p w:rsidR="00803DB2" w:rsidRPr="005B0D25" w:rsidRDefault="00803DB2" w:rsidP="00803DB2">
            <w:pPr>
              <w:pStyle w:val="ListParagraph"/>
              <w:numPr>
                <w:ilvl w:val="0"/>
                <w:numId w:val="4"/>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803DB2" w:rsidRPr="001446B2" w:rsidRDefault="00803DB2" w:rsidP="008432B2">
            <w:r w:rsidRPr="001446B2">
              <w:t>Alumni Outreach</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and Data Control Clerk</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2009-2014   </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Alumni page on </w:t>
            </w:r>
            <w:proofErr w:type="spellStart"/>
            <w:r w:rsidRPr="001446B2">
              <w:rPr>
                <w:rFonts w:ascii="Calibri" w:hAnsi="Calibri"/>
                <w:color w:val="000000"/>
              </w:rPr>
              <w:t>myGCC</w:t>
            </w:r>
            <w:proofErr w:type="spellEnd"/>
            <w:r w:rsidRPr="001446B2">
              <w:rPr>
                <w:rFonts w:ascii="Calibri" w:hAnsi="Calibri"/>
                <w:color w:val="000000"/>
              </w:rPr>
              <w:t xml:space="preserve"> website created, Facebook page for Alumni created ,creation Alumni Association approved by Foundation Board, Alumni Association elections pending ,Distinguished Alumni program</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Number of alumni database in Banner, increase in the number of pledges from Alumni (individual),  increase in GCC Alumni Class donations (group), increase in attendance of Alumni at special events, </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Continue to engage alumni through GCC Class Reunion presentations, , Alumni Pledge program, inclusion of alumni in events, prepare for Alumni Association elections, </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p>
        </w:tc>
      </w:tr>
    </w:tbl>
    <w:p w:rsidR="00803DB2" w:rsidRDefault="00803DB2"/>
    <w:p w:rsidR="00803DB2" w:rsidRDefault="00803DB2"/>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253"/>
        <w:gridCol w:w="7547"/>
      </w:tblGrid>
      <w:tr w:rsidR="00803DB2" w:rsidRPr="000B19E1" w:rsidTr="001446B2">
        <w:trPr>
          <w:trHeight w:hRule="exact" w:val="1440"/>
          <w:tblHeader/>
          <w:jc w:val="center"/>
        </w:trPr>
        <w:tc>
          <w:tcPr>
            <w:tcW w:w="2880" w:type="dxa"/>
            <w:tcBorders>
              <w:top w:val="single" w:sz="6" w:space="0" w:color="auto"/>
              <w:bottom w:val="single" w:sz="2" w:space="0" w:color="auto"/>
              <w:right w:val="single" w:sz="6" w:space="0" w:color="auto"/>
            </w:tcBorders>
            <w:shd w:val="clear" w:color="auto" w:fill="DBE5F1" w:themeFill="accent1" w:themeFillTint="33"/>
            <w:vAlign w:val="center"/>
          </w:tcPr>
          <w:p w:rsidR="00803DB2" w:rsidRPr="00FC7DB9" w:rsidRDefault="00803DB2" w:rsidP="008432B2">
            <w:pPr>
              <w:jc w:val="center"/>
              <w:rPr>
                <w:b/>
                <w:spacing w:val="100"/>
                <w:sz w:val="24"/>
                <w:szCs w:val="24"/>
              </w:rPr>
            </w:pPr>
            <w:r w:rsidRPr="00FC7DB9">
              <w:rPr>
                <w:b/>
                <w:spacing w:val="100"/>
                <w:sz w:val="24"/>
                <w:szCs w:val="24"/>
              </w:rPr>
              <w:t>TASK</w:t>
            </w:r>
            <w:r>
              <w:rPr>
                <w:b/>
                <w:spacing w:val="100"/>
                <w:sz w:val="24"/>
                <w:szCs w:val="24"/>
              </w:rPr>
              <w:t>-C</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803DB2" w:rsidRPr="00722BDF" w:rsidRDefault="00803DB2" w:rsidP="008432B2">
            <w:pPr>
              <w:rPr>
                <w:caps/>
                <w:sz w:val="24"/>
                <w:szCs w:val="24"/>
              </w:rPr>
            </w:pPr>
            <w:r>
              <w:rPr>
                <w:caps/>
                <w:sz w:val="24"/>
                <w:szCs w:val="24"/>
              </w:rPr>
              <w:t>enrollment campaign</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5B0D25" w:rsidRDefault="00803DB2" w:rsidP="00803DB2">
            <w:pPr>
              <w:pStyle w:val="ListParagraph"/>
              <w:numPr>
                <w:ilvl w:val="0"/>
                <w:numId w:val="5"/>
              </w:numPr>
              <w:ind w:left="425" w:hanging="450"/>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r w:rsidRPr="001446B2">
              <w:rPr>
                <w:rFonts w:ascii="Calibri" w:eastAsia="Times New Roman" w:hAnsi="Calibri" w:cs="Times New Roman"/>
              </w:rPr>
              <w:t>Scholarships- to attract potential students and for student retention</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and Data Control Clerk</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2009-2014</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Increase of the number of scholarships offered to GCC students, increase in the amount of scholarship funding from annual donors, increase in number of </w:t>
            </w:r>
            <w:r w:rsidRPr="001446B2">
              <w:rPr>
                <w:rFonts w:ascii="Calibri" w:hAnsi="Calibri"/>
                <w:color w:val="000000"/>
              </w:rPr>
              <w:lastRenderedPageBreak/>
              <w:t xml:space="preserve">scholarship recipients, </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lastRenderedPageBreak/>
              <w:t>Percent Completed</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Continue to work with non-profit groups and local professional organizations to increase scholarship funding, to start an endowed scholarship, or to establish a scholarship program.</w:t>
            </w:r>
          </w:p>
        </w:tc>
      </w:tr>
      <w:tr w:rsidR="00803DB2" w:rsidRPr="000B19E1" w:rsidTr="001446B2">
        <w:trPr>
          <w:trHeight w:val="360"/>
          <w:jc w:val="center"/>
        </w:trPr>
        <w:tc>
          <w:tcPr>
            <w:tcW w:w="2880" w:type="dxa"/>
            <w:tcBorders>
              <w:top w:val="single" w:sz="2" w:space="0" w:color="auto"/>
              <w:bottom w:val="doub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hRule="exact" w:val="144"/>
          <w:jc w:val="center"/>
        </w:trPr>
        <w:tc>
          <w:tcPr>
            <w:tcW w:w="2880" w:type="dxa"/>
            <w:tcBorders>
              <w:top w:val="double" w:sz="2" w:space="0" w:color="auto"/>
              <w:bottom w:val="double" w:sz="2" w:space="0" w:color="auto"/>
              <w:right w:val="nil"/>
            </w:tcBorders>
            <w:vAlign w:val="center"/>
          </w:tcPr>
          <w:p w:rsidR="00803DB2" w:rsidRPr="001D23CF" w:rsidRDefault="00803DB2" w:rsidP="008432B2">
            <w:pPr>
              <w:rPr>
                <w:b/>
                <w:smallCaps/>
                <w:spacing w:val="20"/>
              </w:rPr>
            </w:pPr>
          </w:p>
        </w:tc>
        <w:tc>
          <w:tcPr>
            <w:tcW w:w="6683" w:type="dxa"/>
            <w:tcBorders>
              <w:top w:val="double" w:sz="2" w:space="0" w:color="auto"/>
              <w:left w:val="nil"/>
              <w:bottom w:val="double" w:sz="2"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val="360"/>
          <w:jc w:val="center"/>
        </w:trPr>
        <w:tc>
          <w:tcPr>
            <w:tcW w:w="2880" w:type="dxa"/>
            <w:tcBorders>
              <w:top w:val="double" w:sz="2" w:space="0" w:color="auto"/>
              <w:bottom w:val="single" w:sz="2" w:space="0" w:color="auto"/>
              <w:right w:val="single" w:sz="6" w:space="0" w:color="auto"/>
            </w:tcBorders>
            <w:vAlign w:val="center"/>
          </w:tcPr>
          <w:p w:rsidR="00803DB2" w:rsidRPr="005B0D25" w:rsidRDefault="00803DB2" w:rsidP="00803DB2">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803DB2" w:rsidRPr="001446B2" w:rsidRDefault="00803DB2" w:rsidP="008432B2">
            <w:r w:rsidRPr="001446B2">
              <w:t>Alumni- assist in promotion of GCC programs</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 Assistant Director, Program Specialists, and Data Control Clerk</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2009-2014</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Continuous /on-going / annually</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Increased participation of alumni at all College events, number of communication tools used to engage alumni, </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2"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Alumni Association election of officers, have Alumni speak or participate at College events/during recruitment events.</w:t>
            </w:r>
          </w:p>
        </w:tc>
      </w:tr>
      <w:tr w:rsidR="00803DB2" w:rsidRPr="000B19E1" w:rsidTr="001446B2">
        <w:trPr>
          <w:trHeight w:val="360"/>
          <w:jc w:val="center"/>
        </w:trPr>
        <w:tc>
          <w:tcPr>
            <w:tcW w:w="2880" w:type="dxa"/>
            <w:tcBorders>
              <w:top w:val="single" w:sz="2" w:space="0" w:color="auto"/>
              <w:bottom w:val="double" w:sz="4"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hRule="exact" w:val="144"/>
          <w:jc w:val="center"/>
        </w:trPr>
        <w:tc>
          <w:tcPr>
            <w:tcW w:w="2880" w:type="dxa"/>
            <w:tcBorders>
              <w:top w:val="double" w:sz="4" w:space="0" w:color="auto"/>
              <w:bottom w:val="double" w:sz="4" w:space="0" w:color="auto"/>
              <w:right w:val="nil"/>
            </w:tcBorders>
            <w:vAlign w:val="center"/>
          </w:tcPr>
          <w:p w:rsidR="00803DB2" w:rsidRPr="001D23CF" w:rsidRDefault="00803DB2" w:rsidP="008432B2">
            <w:pPr>
              <w:rPr>
                <w:b/>
                <w:smallCaps/>
                <w:spacing w:val="20"/>
              </w:rPr>
            </w:pPr>
          </w:p>
        </w:tc>
        <w:tc>
          <w:tcPr>
            <w:tcW w:w="6683" w:type="dxa"/>
            <w:tcBorders>
              <w:top w:val="double" w:sz="4" w:space="0" w:color="auto"/>
              <w:left w:val="nil"/>
              <w:bottom w:val="double" w:sz="4" w:space="0" w:color="auto"/>
            </w:tcBorders>
            <w:vAlign w:val="center"/>
          </w:tcPr>
          <w:p w:rsidR="00803DB2" w:rsidRPr="001446B2" w:rsidRDefault="00803DB2" w:rsidP="008432B2">
            <w:pPr>
              <w:rPr>
                <w:rFonts w:ascii="Calibri" w:hAnsi="Calibri"/>
                <w:color w:val="000000"/>
              </w:rPr>
            </w:pPr>
          </w:p>
        </w:tc>
      </w:tr>
      <w:tr w:rsidR="00803DB2" w:rsidRPr="000B19E1" w:rsidTr="001446B2">
        <w:trPr>
          <w:trHeight w:val="360"/>
          <w:jc w:val="center"/>
        </w:trPr>
        <w:tc>
          <w:tcPr>
            <w:tcW w:w="2880" w:type="dxa"/>
            <w:tcBorders>
              <w:top w:val="double" w:sz="4" w:space="0" w:color="auto"/>
              <w:bottom w:val="single" w:sz="6" w:space="0" w:color="auto"/>
              <w:right w:val="single" w:sz="6" w:space="0" w:color="auto"/>
            </w:tcBorders>
            <w:vAlign w:val="center"/>
          </w:tcPr>
          <w:p w:rsidR="00803DB2" w:rsidRPr="005B0D25" w:rsidRDefault="00803DB2" w:rsidP="00803DB2">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803DB2" w:rsidRPr="001446B2" w:rsidRDefault="00803DB2" w:rsidP="008432B2">
            <w:r w:rsidRPr="001446B2">
              <w:t>Special Events- engages the public through contact at GCC events</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Assistant Director, Program Specialists, and Data Control Clerk</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2009-2014</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 Continuous /on-going / annually</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 xml:space="preserve"> number of inquiries about programs at GCC, sign-in sheet or log of visitors, </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45%</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803DB2" w:rsidRPr="001446B2" w:rsidRDefault="00803DB2" w:rsidP="008432B2">
            <w:pPr>
              <w:rPr>
                <w:rFonts w:ascii="Calibri" w:hAnsi="Calibri"/>
                <w:color w:val="000000"/>
              </w:rPr>
            </w:pPr>
            <w:r w:rsidRPr="001446B2">
              <w:rPr>
                <w:rFonts w:ascii="Calibri" w:hAnsi="Calibri"/>
                <w:color w:val="000000"/>
              </w:rPr>
              <w:t>Provide CASE statement, brochures of information to potential students or family members.</w:t>
            </w:r>
          </w:p>
        </w:tc>
      </w:tr>
      <w:tr w:rsidR="00803DB2" w:rsidRPr="000B19E1" w:rsidTr="001446B2">
        <w:trPr>
          <w:trHeight w:val="360"/>
          <w:jc w:val="center"/>
        </w:trPr>
        <w:tc>
          <w:tcPr>
            <w:tcW w:w="2880" w:type="dxa"/>
            <w:tcBorders>
              <w:top w:val="single" w:sz="2" w:space="0" w:color="auto"/>
              <w:bottom w:val="single" w:sz="6" w:space="0" w:color="auto"/>
              <w:right w:val="single" w:sz="6" w:space="0" w:color="auto"/>
            </w:tcBorders>
            <w:vAlign w:val="center"/>
          </w:tcPr>
          <w:p w:rsidR="00803DB2" w:rsidRPr="001D23CF" w:rsidRDefault="00803DB2" w:rsidP="008432B2">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803DB2" w:rsidRPr="00603B51" w:rsidRDefault="00803DB2" w:rsidP="008432B2">
            <w:pPr>
              <w:rPr>
                <w:rFonts w:ascii="Calibri" w:hAnsi="Calibri"/>
                <w:color w:val="000000"/>
              </w:rPr>
            </w:pPr>
          </w:p>
        </w:tc>
      </w:tr>
    </w:tbl>
    <w:p w:rsidR="00AA62B5" w:rsidRDefault="00AA62B5" w:rsidP="001446B2"/>
    <w:sectPr w:rsidR="00AA62B5" w:rsidSect="001446B2">
      <w:headerReference w:type="default" r:id="rId9"/>
      <w:pgSz w:w="12240" w:h="15840"/>
      <w:pgMar w:top="648" w:right="648" w:bottom="648" w:left="6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A1" w:rsidRDefault="006E1AA1" w:rsidP="0021186E">
      <w:pPr>
        <w:spacing w:after="0" w:line="240" w:lineRule="auto"/>
      </w:pPr>
      <w:r>
        <w:separator/>
      </w:r>
    </w:p>
  </w:endnote>
  <w:endnote w:type="continuationSeparator" w:id="0">
    <w:p w:rsidR="006E1AA1" w:rsidRDefault="006E1AA1" w:rsidP="0021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A1" w:rsidRDefault="006E1AA1" w:rsidP="0021186E">
      <w:pPr>
        <w:spacing w:after="0" w:line="240" w:lineRule="auto"/>
      </w:pPr>
      <w:r>
        <w:separator/>
      </w:r>
    </w:p>
  </w:footnote>
  <w:footnote w:type="continuationSeparator" w:id="0">
    <w:p w:rsidR="006E1AA1" w:rsidRDefault="006E1AA1" w:rsidP="0021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96"/>
      <w:gridCol w:w="2578"/>
    </w:tblGrid>
    <w:tr w:rsidR="008857C0">
      <w:trPr>
        <w:trHeight w:val="288"/>
      </w:trPr>
      <w:sdt>
        <w:sdtPr>
          <w:rPr>
            <w:rFonts w:asciiTheme="majorHAnsi" w:eastAsiaTheme="majorEastAsia" w:hAnsiTheme="majorHAnsi" w:cstheme="majorBidi"/>
            <w:smallCaps/>
            <w:spacing w:val="20"/>
            <w:sz w:val="32"/>
            <w:szCs w:val="32"/>
          </w:rPr>
          <w:alias w:val="Title"/>
          <w:id w:val="77761602"/>
          <w:placeholder>
            <w:docPart w:val="569C028B1B83474696437AE542503D63"/>
          </w:placeholder>
          <w:dataBinding w:prefixMappings="xmlns:ns0='http://schemas.openxmlformats.org/package/2006/metadata/core-properties' xmlns:ns1='http://purl.org/dc/elements/1.1/'" w:xpath="/ns0:coreProperties[1]/ns1:title[1]" w:storeItemID="{6C3C8BC8-F283-45AE-878A-BAB7291924A1}"/>
          <w:text/>
        </w:sdtPr>
        <w:sdtEndPr/>
        <w:sdtContent>
          <w:tc>
            <w:tcPr>
              <w:tcW w:w="8485" w:type="dxa"/>
            </w:tcPr>
            <w:p w:rsidR="008857C0" w:rsidRDefault="008857C0" w:rsidP="00AC610B">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2009-2014               Goal#</w:t>
              </w:r>
              <w:r>
                <w:rPr>
                  <w:rFonts w:asciiTheme="majorHAnsi" w:eastAsiaTheme="majorEastAsia" w:hAnsiTheme="majorHAnsi" w:cstheme="majorBidi"/>
                  <w:smallCaps/>
                  <w:spacing w:val="20"/>
                  <w:sz w:val="32"/>
                  <w:szCs w:val="32"/>
                </w:rPr>
                <w:t>3</w:t>
              </w:r>
              <w:r w:rsidRPr="002968E8">
                <w:rPr>
                  <w:rFonts w:asciiTheme="majorHAnsi" w:eastAsiaTheme="majorEastAsia" w:hAnsiTheme="majorHAnsi" w:cstheme="majorBidi"/>
                  <w:smallCaps/>
                  <w:spacing w:val="20"/>
                  <w:sz w:val="32"/>
                  <w:szCs w:val="32"/>
                </w:rPr>
                <w:t xml:space="preserve">~ </w:t>
              </w:r>
              <w:r>
                <w:rPr>
                  <w:rFonts w:asciiTheme="majorHAnsi" w:eastAsiaTheme="majorEastAsia" w:hAnsiTheme="majorHAnsi" w:cstheme="majorBidi"/>
                  <w:smallCaps/>
                  <w:spacing w:val="20"/>
                  <w:sz w:val="32"/>
                  <w:szCs w:val="32"/>
                </w:rPr>
                <w:t>Community Interaction</w:t>
              </w:r>
            </w:p>
          </w:tc>
        </w:sdtContent>
      </w:sdt>
      <w:tc>
        <w:tcPr>
          <w:tcW w:w="2545" w:type="dxa"/>
          <w:vAlign w:val="center"/>
        </w:tcPr>
        <w:p w:rsidR="008857C0" w:rsidRPr="002968E8" w:rsidRDefault="008857C0" w:rsidP="001446B2">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As of </w:t>
          </w:r>
          <w:r w:rsidR="001446B2">
            <w:rPr>
              <w:rFonts w:asciiTheme="majorHAnsi" w:eastAsiaTheme="majorEastAsia" w:hAnsiTheme="majorHAnsi" w:cstheme="majorBidi"/>
              <w:b/>
              <w:bCs/>
              <w:color w:val="4F81BD" w:themeColor="accent1"/>
            </w:rPr>
            <w:t xml:space="preserve">October </w:t>
          </w:r>
          <w:r>
            <w:rPr>
              <w:rFonts w:asciiTheme="majorHAnsi" w:eastAsiaTheme="majorEastAsia" w:hAnsiTheme="majorHAnsi" w:cstheme="majorBidi"/>
              <w:b/>
              <w:bCs/>
              <w:color w:val="4F81BD" w:themeColor="accent1"/>
            </w:rPr>
            <w:t>2012</w:t>
          </w:r>
        </w:p>
      </w:tc>
    </w:tr>
  </w:tbl>
  <w:p w:rsidR="008857C0" w:rsidRDefault="008857C0" w:rsidP="0021186E">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3F71"/>
    <w:multiLevelType w:val="hybridMultilevel"/>
    <w:tmpl w:val="DECA98D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567BC"/>
    <w:multiLevelType w:val="hybridMultilevel"/>
    <w:tmpl w:val="DECA98D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16964"/>
    <w:multiLevelType w:val="hybridMultilevel"/>
    <w:tmpl w:val="3F1C5E6C"/>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55785"/>
    <w:multiLevelType w:val="hybridMultilevel"/>
    <w:tmpl w:val="6C567C30"/>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552A2E"/>
    <w:multiLevelType w:val="hybridMultilevel"/>
    <w:tmpl w:val="C4347536"/>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E6"/>
    <w:rsid w:val="00010082"/>
    <w:rsid w:val="00013764"/>
    <w:rsid w:val="0001510D"/>
    <w:rsid w:val="000250E3"/>
    <w:rsid w:val="00040739"/>
    <w:rsid w:val="000410B9"/>
    <w:rsid w:val="00043E49"/>
    <w:rsid w:val="00044B9F"/>
    <w:rsid w:val="0005504C"/>
    <w:rsid w:val="00055FA9"/>
    <w:rsid w:val="000653D7"/>
    <w:rsid w:val="000658F9"/>
    <w:rsid w:val="00080B8D"/>
    <w:rsid w:val="000870C9"/>
    <w:rsid w:val="00087AD8"/>
    <w:rsid w:val="000961E6"/>
    <w:rsid w:val="000A5BA7"/>
    <w:rsid w:val="000B19E1"/>
    <w:rsid w:val="000B45C2"/>
    <w:rsid w:val="000C2296"/>
    <w:rsid w:val="000D156F"/>
    <w:rsid w:val="000D592A"/>
    <w:rsid w:val="000D6442"/>
    <w:rsid w:val="000E03A4"/>
    <w:rsid w:val="001060DF"/>
    <w:rsid w:val="00143EB1"/>
    <w:rsid w:val="001446B2"/>
    <w:rsid w:val="00144762"/>
    <w:rsid w:val="00150783"/>
    <w:rsid w:val="00181451"/>
    <w:rsid w:val="001D23CF"/>
    <w:rsid w:val="001D26FE"/>
    <w:rsid w:val="001E7B40"/>
    <w:rsid w:val="001F1106"/>
    <w:rsid w:val="001F5E02"/>
    <w:rsid w:val="001F5E42"/>
    <w:rsid w:val="0021186E"/>
    <w:rsid w:val="00215CEC"/>
    <w:rsid w:val="0022230F"/>
    <w:rsid w:val="0023143A"/>
    <w:rsid w:val="00235B28"/>
    <w:rsid w:val="00253C50"/>
    <w:rsid w:val="0026096F"/>
    <w:rsid w:val="00281F60"/>
    <w:rsid w:val="00282FFD"/>
    <w:rsid w:val="002968E8"/>
    <w:rsid w:val="00296AE5"/>
    <w:rsid w:val="002A5071"/>
    <w:rsid w:val="002A5E15"/>
    <w:rsid w:val="002B2BB3"/>
    <w:rsid w:val="002B65B9"/>
    <w:rsid w:val="002C0175"/>
    <w:rsid w:val="002C1EE3"/>
    <w:rsid w:val="002C4803"/>
    <w:rsid w:val="002D1144"/>
    <w:rsid w:val="002D2BD9"/>
    <w:rsid w:val="002D6CAC"/>
    <w:rsid w:val="002E5E7C"/>
    <w:rsid w:val="003016EA"/>
    <w:rsid w:val="003074FA"/>
    <w:rsid w:val="00321E6F"/>
    <w:rsid w:val="00336E3B"/>
    <w:rsid w:val="00342810"/>
    <w:rsid w:val="00351D6D"/>
    <w:rsid w:val="00352137"/>
    <w:rsid w:val="003607EE"/>
    <w:rsid w:val="00360A15"/>
    <w:rsid w:val="00392260"/>
    <w:rsid w:val="003956D9"/>
    <w:rsid w:val="00397ED4"/>
    <w:rsid w:val="003A11AE"/>
    <w:rsid w:val="003A4CF5"/>
    <w:rsid w:val="003B004E"/>
    <w:rsid w:val="003B46EF"/>
    <w:rsid w:val="003D6155"/>
    <w:rsid w:val="003E68FD"/>
    <w:rsid w:val="003E7321"/>
    <w:rsid w:val="003F61A4"/>
    <w:rsid w:val="003F6983"/>
    <w:rsid w:val="00400E9F"/>
    <w:rsid w:val="00404364"/>
    <w:rsid w:val="004048BC"/>
    <w:rsid w:val="004127BA"/>
    <w:rsid w:val="00426F5F"/>
    <w:rsid w:val="004318E7"/>
    <w:rsid w:val="004713B3"/>
    <w:rsid w:val="004749D3"/>
    <w:rsid w:val="00474B83"/>
    <w:rsid w:val="00496D6F"/>
    <w:rsid w:val="004A5E56"/>
    <w:rsid w:val="004B3096"/>
    <w:rsid w:val="004B42E6"/>
    <w:rsid w:val="004B7465"/>
    <w:rsid w:val="004C0F6C"/>
    <w:rsid w:val="004C49D3"/>
    <w:rsid w:val="004C4F39"/>
    <w:rsid w:val="004E4F71"/>
    <w:rsid w:val="00514418"/>
    <w:rsid w:val="00516475"/>
    <w:rsid w:val="00543ACD"/>
    <w:rsid w:val="005555AB"/>
    <w:rsid w:val="00564340"/>
    <w:rsid w:val="00570A4C"/>
    <w:rsid w:val="00572FCF"/>
    <w:rsid w:val="005822B4"/>
    <w:rsid w:val="00585382"/>
    <w:rsid w:val="005868E6"/>
    <w:rsid w:val="00590407"/>
    <w:rsid w:val="005962EC"/>
    <w:rsid w:val="005A2343"/>
    <w:rsid w:val="005A2702"/>
    <w:rsid w:val="005A3631"/>
    <w:rsid w:val="005A4111"/>
    <w:rsid w:val="005B2CBD"/>
    <w:rsid w:val="005B3A08"/>
    <w:rsid w:val="005D7D13"/>
    <w:rsid w:val="005F7F8E"/>
    <w:rsid w:val="00603B51"/>
    <w:rsid w:val="00603C48"/>
    <w:rsid w:val="00611E9A"/>
    <w:rsid w:val="00630FDD"/>
    <w:rsid w:val="00632F8F"/>
    <w:rsid w:val="00651F0A"/>
    <w:rsid w:val="00672418"/>
    <w:rsid w:val="00672E11"/>
    <w:rsid w:val="00675F95"/>
    <w:rsid w:val="00676AF5"/>
    <w:rsid w:val="00684ADE"/>
    <w:rsid w:val="00692639"/>
    <w:rsid w:val="006A32AC"/>
    <w:rsid w:val="006B2F08"/>
    <w:rsid w:val="006C239F"/>
    <w:rsid w:val="006E1AA1"/>
    <w:rsid w:val="006E2673"/>
    <w:rsid w:val="006F5D6B"/>
    <w:rsid w:val="006F73E8"/>
    <w:rsid w:val="007000D8"/>
    <w:rsid w:val="00710C09"/>
    <w:rsid w:val="00722BDF"/>
    <w:rsid w:val="00733C01"/>
    <w:rsid w:val="00741BF6"/>
    <w:rsid w:val="00742662"/>
    <w:rsid w:val="00764B60"/>
    <w:rsid w:val="00764FA7"/>
    <w:rsid w:val="00766D27"/>
    <w:rsid w:val="0078574D"/>
    <w:rsid w:val="007C6391"/>
    <w:rsid w:val="007D3477"/>
    <w:rsid w:val="007D73CB"/>
    <w:rsid w:val="007E4928"/>
    <w:rsid w:val="007F2DBB"/>
    <w:rsid w:val="007F75A0"/>
    <w:rsid w:val="007F75CF"/>
    <w:rsid w:val="00803DB2"/>
    <w:rsid w:val="008054D9"/>
    <w:rsid w:val="008119D0"/>
    <w:rsid w:val="0082209F"/>
    <w:rsid w:val="00822E63"/>
    <w:rsid w:val="00827161"/>
    <w:rsid w:val="008324F7"/>
    <w:rsid w:val="00832695"/>
    <w:rsid w:val="008350D7"/>
    <w:rsid w:val="008432B2"/>
    <w:rsid w:val="00843DD2"/>
    <w:rsid w:val="00847248"/>
    <w:rsid w:val="00850429"/>
    <w:rsid w:val="0086069E"/>
    <w:rsid w:val="00861363"/>
    <w:rsid w:val="00861503"/>
    <w:rsid w:val="00875EED"/>
    <w:rsid w:val="00880E32"/>
    <w:rsid w:val="008857C0"/>
    <w:rsid w:val="008955C4"/>
    <w:rsid w:val="008B6D99"/>
    <w:rsid w:val="008D511A"/>
    <w:rsid w:val="008E1A2F"/>
    <w:rsid w:val="0092414E"/>
    <w:rsid w:val="00947D1C"/>
    <w:rsid w:val="009532E5"/>
    <w:rsid w:val="00954885"/>
    <w:rsid w:val="0097298B"/>
    <w:rsid w:val="00974591"/>
    <w:rsid w:val="00991CFB"/>
    <w:rsid w:val="00997EF4"/>
    <w:rsid w:val="009A4931"/>
    <w:rsid w:val="009C027C"/>
    <w:rsid w:val="009C7D48"/>
    <w:rsid w:val="009D011E"/>
    <w:rsid w:val="009D0725"/>
    <w:rsid w:val="009D3AE9"/>
    <w:rsid w:val="009F1A68"/>
    <w:rsid w:val="00A00084"/>
    <w:rsid w:val="00A0008F"/>
    <w:rsid w:val="00A013AA"/>
    <w:rsid w:val="00A12B07"/>
    <w:rsid w:val="00A20EAC"/>
    <w:rsid w:val="00A234A2"/>
    <w:rsid w:val="00A34549"/>
    <w:rsid w:val="00A34C6C"/>
    <w:rsid w:val="00A42630"/>
    <w:rsid w:val="00A42943"/>
    <w:rsid w:val="00A55806"/>
    <w:rsid w:val="00A571B7"/>
    <w:rsid w:val="00A57BEF"/>
    <w:rsid w:val="00AA12FF"/>
    <w:rsid w:val="00AA303B"/>
    <w:rsid w:val="00AA62B5"/>
    <w:rsid w:val="00AB679F"/>
    <w:rsid w:val="00AC4788"/>
    <w:rsid w:val="00AC610B"/>
    <w:rsid w:val="00AD5438"/>
    <w:rsid w:val="00AE33DC"/>
    <w:rsid w:val="00AE7EBD"/>
    <w:rsid w:val="00B05E90"/>
    <w:rsid w:val="00B0632E"/>
    <w:rsid w:val="00B13DA2"/>
    <w:rsid w:val="00B15527"/>
    <w:rsid w:val="00B213B3"/>
    <w:rsid w:val="00B248BE"/>
    <w:rsid w:val="00B30257"/>
    <w:rsid w:val="00B62A15"/>
    <w:rsid w:val="00B77574"/>
    <w:rsid w:val="00B80533"/>
    <w:rsid w:val="00B87650"/>
    <w:rsid w:val="00B90C91"/>
    <w:rsid w:val="00B96215"/>
    <w:rsid w:val="00BB53EC"/>
    <w:rsid w:val="00BD3938"/>
    <w:rsid w:val="00BE06B0"/>
    <w:rsid w:val="00BF1580"/>
    <w:rsid w:val="00C00BB0"/>
    <w:rsid w:val="00C15C95"/>
    <w:rsid w:val="00C301EE"/>
    <w:rsid w:val="00C33038"/>
    <w:rsid w:val="00C43189"/>
    <w:rsid w:val="00C5786F"/>
    <w:rsid w:val="00C712A5"/>
    <w:rsid w:val="00C92AF5"/>
    <w:rsid w:val="00CA32A6"/>
    <w:rsid w:val="00CB175B"/>
    <w:rsid w:val="00CC23AA"/>
    <w:rsid w:val="00CD0750"/>
    <w:rsid w:val="00CD087E"/>
    <w:rsid w:val="00CF21E2"/>
    <w:rsid w:val="00CF2D2D"/>
    <w:rsid w:val="00CF3DB0"/>
    <w:rsid w:val="00D00CC8"/>
    <w:rsid w:val="00D01566"/>
    <w:rsid w:val="00D07E5D"/>
    <w:rsid w:val="00D1545A"/>
    <w:rsid w:val="00D23ACB"/>
    <w:rsid w:val="00D24E94"/>
    <w:rsid w:val="00D278D3"/>
    <w:rsid w:val="00D301BC"/>
    <w:rsid w:val="00D322E3"/>
    <w:rsid w:val="00D33C42"/>
    <w:rsid w:val="00D35498"/>
    <w:rsid w:val="00D355B1"/>
    <w:rsid w:val="00D35697"/>
    <w:rsid w:val="00D35DA9"/>
    <w:rsid w:val="00D5435F"/>
    <w:rsid w:val="00D8311C"/>
    <w:rsid w:val="00D9244A"/>
    <w:rsid w:val="00D94B6E"/>
    <w:rsid w:val="00DA74C5"/>
    <w:rsid w:val="00DB0C5D"/>
    <w:rsid w:val="00DC035B"/>
    <w:rsid w:val="00DD0A96"/>
    <w:rsid w:val="00DD6B10"/>
    <w:rsid w:val="00DE1472"/>
    <w:rsid w:val="00DF1226"/>
    <w:rsid w:val="00DF5746"/>
    <w:rsid w:val="00E00418"/>
    <w:rsid w:val="00E01184"/>
    <w:rsid w:val="00E01C88"/>
    <w:rsid w:val="00E03F5A"/>
    <w:rsid w:val="00E20574"/>
    <w:rsid w:val="00E3157A"/>
    <w:rsid w:val="00E54CB5"/>
    <w:rsid w:val="00E64628"/>
    <w:rsid w:val="00E85364"/>
    <w:rsid w:val="00EC7788"/>
    <w:rsid w:val="00EF6FBB"/>
    <w:rsid w:val="00EF7EBA"/>
    <w:rsid w:val="00F07786"/>
    <w:rsid w:val="00F12180"/>
    <w:rsid w:val="00F152E2"/>
    <w:rsid w:val="00F400CB"/>
    <w:rsid w:val="00F4022D"/>
    <w:rsid w:val="00F44DE8"/>
    <w:rsid w:val="00F60BBD"/>
    <w:rsid w:val="00F81696"/>
    <w:rsid w:val="00F82E76"/>
    <w:rsid w:val="00F8763D"/>
    <w:rsid w:val="00FB47F5"/>
    <w:rsid w:val="00FC211A"/>
    <w:rsid w:val="00FC499A"/>
    <w:rsid w:val="00FC6569"/>
    <w:rsid w:val="00FC7DB9"/>
    <w:rsid w:val="00FD14A7"/>
    <w:rsid w:val="00FD6305"/>
    <w:rsid w:val="00FE2A31"/>
    <w:rsid w:val="00FF2C30"/>
    <w:rsid w:val="00FF357B"/>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065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06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9C028B1B83474696437AE542503D63"/>
        <w:category>
          <w:name w:val="General"/>
          <w:gallery w:val="placeholder"/>
        </w:category>
        <w:types>
          <w:type w:val="bbPlcHdr"/>
        </w:types>
        <w:behaviors>
          <w:behavior w:val="content"/>
        </w:behaviors>
        <w:guid w:val="{5D1839EE-F89D-43E6-B55A-E8C67A684C44}"/>
      </w:docPartPr>
      <w:docPartBody>
        <w:p w:rsidR="00C96517" w:rsidRDefault="00395025" w:rsidP="00395025">
          <w:pPr>
            <w:pStyle w:val="569C028B1B83474696437AE542503D6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395025"/>
    <w:rsid w:val="000F2AF2"/>
    <w:rsid w:val="002615B0"/>
    <w:rsid w:val="00395025"/>
    <w:rsid w:val="003A2FDB"/>
    <w:rsid w:val="00493968"/>
    <w:rsid w:val="006D587A"/>
    <w:rsid w:val="007638A2"/>
    <w:rsid w:val="00840B53"/>
    <w:rsid w:val="00914B9B"/>
    <w:rsid w:val="009B19C6"/>
    <w:rsid w:val="00A57512"/>
    <w:rsid w:val="00B56F39"/>
    <w:rsid w:val="00BC222C"/>
    <w:rsid w:val="00C96517"/>
    <w:rsid w:val="00D84E10"/>
    <w:rsid w:val="00EA45CF"/>
    <w:rsid w:val="00F2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Institutional Strategic Master Plan 2009-2014               Goal#2 ~ Educational Excellence</vt:lpstr>
    </vt:vector>
  </TitlesOfParts>
  <Company>Guam Community College</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2009-2014               Goal#3~ Community Interaction</dc:title>
  <dc:subject/>
  <dc:creator>Doris</dc:creator>
  <cp:keywords/>
  <dc:description/>
  <cp:lastModifiedBy>User</cp:lastModifiedBy>
  <cp:revision>2</cp:revision>
  <cp:lastPrinted>2012-03-07T06:07:00Z</cp:lastPrinted>
  <dcterms:created xsi:type="dcterms:W3CDTF">2012-11-15T03:51:00Z</dcterms:created>
  <dcterms:modified xsi:type="dcterms:W3CDTF">2012-11-15T03:51:00Z</dcterms:modified>
</cp:coreProperties>
</file>