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 w:rsidTr="00C92AF5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8179D2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250E3" w:rsidP="000250E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develop a marketing plan which helps to enhance GCC’s brand identity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7C72B6" w:rsidRDefault="000B19E1" w:rsidP="007C72B6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7C72B6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7C72B6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DF1226" w:rsidRDefault="000250E3" w:rsidP="00010082">
            <w:r w:rsidRPr="00DF1226">
              <w:rPr>
                <w:rFonts w:ascii="Calibri" w:hAnsi="Calibri"/>
                <w:color w:val="000000"/>
              </w:rPr>
              <w:t>C</w:t>
            </w:r>
            <w:r w:rsidR="00D476E3">
              <w:rPr>
                <w:rFonts w:ascii="Calibri" w:hAnsi="Calibri"/>
                <w:color w:val="000000"/>
              </w:rPr>
              <w:t xml:space="preserve">onvene Taskforce to compile, review, and develop a measurement </w:t>
            </w:r>
            <w:r w:rsidR="00C43070">
              <w:rPr>
                <w:rFonts w:ascii="Calibri" w:hAnsi="Calibri"/>
                <w:color w:val="000000"/>
              </w:rPr>
              <w:t>orientation</w:t>
            </w:r>
            <w:r w:rsidR="00D476E3">
              <w:rPr>
                <w:rFonts w:ascii="Calibri" w:hAnsi="Calibri"/>
                <w:color w:val="000000"/>
              </w:rPr>
              <w:t xml:space="preserve"> program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0250E3" w:rsidP="00E00418">
            <w:pPr>
              <w:rPr>
                <w:rFonts w:ascii="Calibri" w:hAnsi="Calibri"/>
                <w:color w:val="000000"/>
              </w:rPr>
            </w:pPr>
            <w:r w:rsidRPr="00DF1226">
              <w:rPr>
                <w:rFonts w:ascii="Calibri" w:hAnsi="Calibri"/>
                <w:color w:val="000000"/>
              </w:rPr>
              <w:t>Assistant Director,</w:t>
            </w:r>
            <w:r w:rsidR="00D476E3">
              <w:rPr>
                <w:rFonts w:ascii="Calibri" w:hAnsi="Calibri"/>
                <w:color w:val="000000"/>
              </w:rPr>
              <w:t xml:space="preserve"> Planning and Development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D32A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2010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0645A" w:rsidP="00B06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Solicited for interested taskforce participants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A76C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Establish </w:t>
            </w:r>
            <w:r w:rsidR="00F25FC7">
              <w:rPr>
                <w:rFonts w:ascii="Calibri" w:hAnsi="Calibri"/>
                <w:color w:val="000000"/>
              </w:rPr>
              <w:t xml:space="preserve">Dedicated Planning </w:t>
            </w:r>
            <w:r>
              <w:rPr>
                <w:rFonts w:ascii="Calibri" w:hAnsi="Calibri"/>
                <w:color w:val="000000"/>
              </w:rPr>
              <w:t>Taskforce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0645A" w:rsidP="00B06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BA76CE">
              <w:rPr>
                <w:rFonts w:ascii="Calibri" w:hAnsi="Calibri"/>
                <w:color w:val="000000"/>
              </w:rPr>
              <w:t>%</w:t>
            </w:r>
          </w:p>
        </w:tc>
      </w:tr>
      <w:tr w:rsidR="00AA62B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B0645A" w:rsidP="00B064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taskforce membership</w:t>
            </w:r>
          </w:p>
        </w:tc>
      </w:tr>
      <w:tr w:rsidR="009B0C92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9B0C92" w:rsidRPr="001D23CF" w:rsidRDefault="009B0C92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9B0C92" w:rsidRPr="00DF1226" w:rsidRDefault="009B0C92" w:rsidP="00B52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Since the retirement of the VP for Administrative Services Division (September 30, 2010), this task had been reassigned by President to the Assistant Director, Planning and Development (October 1, 2010).</w:t>
            </w:r>
          </w:p>
        </w:tc>
      </w:tr>
      <w:tr w:rsidR="00181451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7C72B6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2B6" w:rsidRPr="007C72B6" w:rsidRDefault="007C72B6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7C72B6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7C72B6" w:rsidRPr="00954885" w:rsidRDefault="007C72B6" w:rsidP="00E00418">
            <w:r>
              <w:rPr>
                <w:rFonts w:ascii="Calibri" w:eastAsia="Times New Roman" w:hAnsi="Calibri" w:cs="Times New Roman"/>
              </w:rPr>
              <w:t>Develop qualitative assessments for each project (plan) identify by task force (e.g., ISMP, Technology, Assessment, and Facility)</w:t>
            </w:r>
          </w:p>
        </w:tc>
      </w:tr>
      <w:tr w:rsidR="00954885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54885" w:rsidRPr="001D23CF" w:rsidRDefault="00954885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54885" w:rsidRPr="00954885" w:rsidRDefault="00954885" w:rsidP="00743E6C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 w:rsidR="00D476E3"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BD32A3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 2011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BA76CE" w:rsidP="00532C7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Gathered </w:t>
            </w:r>
            <w:r w:rsidR="00532C78">
              <w:rPr>
                <w:rFonts w:ascii="Calibri" w:hAnsi="Calibri"/>
                <w:color w:val="000000"/>
              </w:rPr>
              <w:t xml:space="preserve">key </w:t>
            </w:r>
            <w:r>
              <w:rPr>
                <w:rFonts w:ascii="Calibri" w:hAnsi="Calibri"/>
                <w:color w:val="000000"/>
              </w:rPr>
              <w:t>documents</w:t>
            </w:r>
            <w:r w:rsidR="00F25FC7">
              <w:rPr>
                <w:rFonts w:ascii="Calibri" w:hAnsi="Calibri"/>
                <w:color w:val="000000"/>
              </w:rPr>
              <w:t xml:space="preserve"> to develop matri</w:t>
            </w:r>
            <w:r w:rsidR="00532C78">
              <w:rPr>
                <w:rFonts w:ascii="Calibri" w:hAnsi="Calibri"/>
                <w:color w:val="000000"/>
              </w:rPr>
              <w:t>x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BA76CE" w:rsidP="00F25F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 assessment template</w:t>
            </w:r>
            <w:r w:rsidR="00F25FC7">
              <w:rPr>
                <w:rFonts w:ascii="Calibri" w:hAnsi="Calibri"/>
                <w:color w:val="000000"/>
              </w:rPr>
              <w:t>/</w:t>
            </w:r>
            <w:r w:rsidR="00F25FC7">
              <w:rPr>
                <w:rFonts w:ascii="Calibri" w:eastAsia="Times New Roman" w:hAnsi="Calibri" w:cs="Times New Roman"/>
              </w:rPr>
              <w:t>metrics, based on qualitative assessments for Goal #1, #2, #3, and #4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BA76CE" w:rsidP="00BA76C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847248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BA76CE" w:rsidP="00AA62B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assessment template.</w:t>
            </w:r>
          </w:p>
        </w:tc>
      </w:tr>
      <w:tr w:rsidR="009B0C92" w:rsidRPr="000B19E1" w:rsidTr="00FC211A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B0C92" w:rsidRPr="001D23CF" w:rsidRDefault="009B0C92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9B0C92" w:rsidRPr="00DF1226" w:rsidRDefault="009B0C92" w:rsidP="00B52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Since the retirement of the VP for Administrative Services Division (September 30, 2010), this task had been reassigned by President to the Assistant Director, Planning and Development (October 1, 2010).</w:t>
            </w:r>
          </w:p>
        </w:tc>
      </w:tr>
    </w:tbl>
    <w:p w:rsidR="004B42E6" w:rsidRDefault="004B42E6" w:rsidP="004B42E6"/>
    <w:p w:rsidR="003A4CF5" w:rsidRDefault="003A4CF5" w:rsidP="004B42E6"/>
    <w:p w:rsidR="003607EE" w:rsidRDefault="003607EE" w:rsidP="004B42E6"/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 w:rsidTr="00743E6C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8179D2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C43070" w:rsidP="00C43070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utilize the existing two-yer Assessment Planning Cycle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7C72B6" w:rsidRDefault="003607EE" w:rsidP="007C72B6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7C72B6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C43070" w:rsidP="00743E6C">
            <w:r>
              <w:rPr>
                <w:rFonts w:ascii="Calibri" w:eastAsia="Times New Roman" w:hAnsi="Calibri" w:cs="Times New Roman"/>
              </w:rPr>
              <w:t>Publish scheduled timetable which follows the 2-year assessment cycle to disseminate status of plans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C43070" w:rsidP="00743E6C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BD32A3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March 2011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9E503D" w:rsidP="009E50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Initiate</w:t>
            </w:r>
            <w:r w:rsidR="00F25FC7">
              <w:rPr>
                <w:rFonts w:ascii="Calibri" w:hAnsi="Calibri"/>
                <w:color w:val="000000"/>
              </w:rPr>
              <w:t>d</w:t>
            </w:r>
            <w:r w:rsidR="008F08FE">
              <w:rPr>
                <w:rFonts w:ascii="Calibri" w:hAnsi="Calibri"/>
                <w:color w:val="000000"/>
              </w:rPr>
              <w:t xml:space="preserve"> discussion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9E503D" w:rsidP="00C430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Development of a scheduled timetable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9E503D" w:rsidP="009E50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3607EE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9E503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timetable.</w:t>
            </w:r>
          </w:p>
        </w:tc>
      </w:tr>
      <w:tr w:rsidR="009B0C92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9B0C92" w:rsidRPr="001D23CF" w:rsidRDefault="009B0C92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9B0C92" w:rsidRPr="00DF1226" w:rsidRDefault="009B0C92" w:rsidP="00B5270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Since the retirement of the VP for Administrative Services Division (September 30, 2010), this task had been reassigned by President to the Assistant Director, Planning and Development (October 1, 2010).</w:t>
            </w:r>
          </w:p>
        </w:tc>
      </w:tr>
      <w:tr w:rsidR="003607EE" w:rsidRPr="000B19E1" w:rsidTr="00603B5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7C72B6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C72B6" w:rsidRPr="007C72B6" w:rsidRDefault="007C72B6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7C72B6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7C72B6" w:rsidRPr="00603B51" w:rsidRDefault="007C72B6" w:rsidP="00743E6C">
            <w:r>
              <w:t>Present 2-year measure of institutional effectiveness to DCs,  MTM, and Board</w:t>
            </w:r>
          </w:p>
        </w:tc>
      </w:tr>
      <w:tr w:rsidR="00BD32A3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D32A3" w:rsidRPr="001D23CF" w:rsidRDefault="00BD32A3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D32A3" w:rsidRPr="00954885" w:rsidRDefault="00BD32A3" w:rsidP="0037529D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 xml:space="preserve">Assistant Director, </w:t>
            </w:r>
            <w:r>
              <w:rPr>
                <w:rFonts w:ascii="Calibri" w:hAnsi="Calibri"/>
                <w:color w:val="000000"/>
              </w:rPr>
              <w:t>Planning and Development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BD32A3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January 2012</w:t>
            </w:r>
          </w:p>
        </w:tc>
      </w:tr>
      <w:tr w:rsidR="00C43070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43070" w:rsidRPr="001D23CF" w:rsidRDefault="00C43070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C43070" w:rsidRPr="00954885" w:rsidRDefault="009E503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Developed a template to report institutional effectiveness</w:t>
            </w:r>
          </w:p>
        </w:tc>
      </w:tr>
      <w:tr w:rsidR="00AC4788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9E503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Submission of 2-Year measure</w:t>
            </w:r>
          </w:p>
        </w:tc>
      </w:tr>
      <w:tr w:rsidR="00AC4788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9E503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AC4788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9E503D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Finalize 2-Year Measure of Institutional Effectiveness</w:t>
            </w:r>
          </w:p>
        </w:tc>
      </w:tr>
      <w:tr w:rsidR="00DE3B8D" w:rsidRPr="000B19E1" w:rsidTr="00B77574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E3B8D" w:rsidRPr="001D23CF" w:rsidRDefault="00DE3B8D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DE3B8D" w:rsidRPr="00DF1226" w:rsidRDefault="00DE3B8D" w:rsidP="009B0C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Since the retirement of </w:t>
            </w:r>
            <w:r w:rsidR="009B0C92">
              <w:rPr>
                <w:rFonts w:ascii="Calibri" w:hAnsi="Calibri"/>
                <w:color w:val="000000"/>
              </w:rPr>
              <w:t xml:space="preserve">the </w:t>
            </w:r>
            <w:r>
              <w:rPr>
                <w:rFonts w:ascii="Calibri" w:hAnsi="Calibri"/>
                <w:color w:val="000000"/>
              </w:rPr>
              <w:t>VP</w:t>
            </w:r>
            <w:r w:rsidR="009B0C92">
              <w:rPr>
                <w:rFonts w:ascii="Calibri" w:hAnsi="Calibri"/>
                <w:color w:val="000000"/>
              </w:rPr>
              <w:t xml:space="preserve"> for </w:t>
            </w:r>
            <w:r>
              <w:rPr>
                <w:rFonts w:ascii="Calibri" w:hAnsi="Calibri"/>
                <w:color w:val="000000"/>
              </w:rPr>
              <w:t>Administrative Services Division (September 30, 2010)</w:t>
            </w:r>
            <w:r w:rsidR="009B0C92"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th</w:t>
            </w:r>
            <w:r w:rsidR="009B0C92">
              <w:rPr>
                <w:rFonts w:ascii="Calibri" w:hAnsi="Calibri"/>
                <w:color w:val="000000"/>
              </w:rPr>
              <w:t>is</w:t>
            </w:r>
            <w:r>
              <w:rPr>
                <w:rFonts w:ascii="Calibri" w:hAnsi="Calibri"/>
                <w:color w:val="000000"/>
              </w:rPr>
              <w:t xml:space="preserve"> task had been reassigned by President to the Assistant Director, Planning and Development (October 1, 2010).</w:t>
            </w:r>
          </w:p>
        </w:tc>
      </w:tr>
    </w:tbl>
    <w:p w:rsidR="003607EE" w:rsidRDefault="003607EE" w:rsidP="00A91977"/>
    <w:sectPr w:rsidR="003607EE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7E" w:rsidRDefault="0006427E" w:rsidP="0021186E">
      <w:pPr>
        <w:spacing w:after="0" w:line="240" w:lineRule="auto"/>
      </w:pPr>
      <w:r>
        <w:separator/>
      </w:r>
    </w:p>
  </w:endnote>
  <w:endnote w:type="continuationSeparator" w:id="0">
    <w:p w:rsidR="0006427E" w:rsidRDefault="0006427E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7E" w:rsidRDefault="0006427E" w:rsidP="0021186E">
      <w:pPr>
        <w:spacing w:after="0" w:line="240" w:lineRule="auto"/>
      </w:pPr>
      <w:r>
        <w:separator/>
      </w:r>
    </w:p>
  </w:footnote>
  <w:footnote w:type="continuationSeparator" w:id="0">
    <w:p w:rsidR="0006427E" w:rsidRDefault="0006427E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2968E8" w:rsidT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2968E8" w:rsidRDefault="002968E8" w:rsidP="00636FF7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4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~ </w:t>
              </w:r>
              <w:r w:rsidR="00636FF7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Dedicated Planning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E837F9" w:rsidP="008142D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CA6D40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December 20</w:t>
          </w:r>
          <w:r w:rsidR="008142DA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10</w:t>
          </w: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728C6"/>
    <w:multiLevelType w:val="hybridMultilevel"/>
    <w:tmpl w:val="71DA110E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21F8C"/>
    <w:multiLevelType w:val="hybridMultilevel"/>
    <w:tmpl w:val="D2EE75BA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071C7"/>
    <w:rsid w:val="00010082"/>
    <w:rsid w:val="00013764"/>
    <w:rsid w:val="0001510D"/>
    <w:rsid w:val="000250E3"/>
    <w:rsid w:val="00043E49"/>
    <w:rsid w:val="00044B9F"/>
    <w:rsid w:val="00055FA9"/>
    <w:rsid w:val="0006427E"/>
    <w:rsid w:val="000653D7"/>
    <w:rsid w:val="00080B8D"/>
    <w:rsid w:val="00087AD8"/>
    <w:rsid w:val="000B19E1"/>
    <w:rsid w:val="000B45C2"/>
    <w:rsid w:val="000C2296"/>
    <w:rsid w:val="000D6442"/>
    <w:rsid w:val="001060DF"/>
    <w:rsid w:val="00144762"/>
    <w:rsid w:val="00181451"/>
    <w:rsid w:val="00185BB9"/>
    <w:rsid w:val="001D23CF"/>
    <w:rsid w:val="001D26FE"/>
    <w:rsid w:val="001E7B40"/>
    <w:rsid w:val="001F00C3"/>
    <w:rsid w:val="001F1106"/>
    <w:rsid w:val="001F5E02"/>
    <w:rsid w:val="001F5E42"/>
    <w:rsid w:val="0021186E"/>
    <w:rsid w:val="00215CEC"/>
    <w:rsid w:val="0023143A"/>
    <w:rsid w:val="00235B28"/>
    <w:rsid w:val="002438FF"/>
    <w:rsid w:val="00253C50"/>
    <w:rsid w:val="0026096F"/>
    <w:rsid w:val="00281F60"/>
    <w:rsid w:val="00282FFD"/>
    <w:rsid w:val="002968E8"/>
    <w:rsid w:val="00296AE5"/>
    <w:rsid w:val="002A5071"/>
    <w:rsid w:val="002A5E15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74FA"/>
    <w:rsid w:val="00336E3B"/>
    <w:rsid w:val="00342810"/>
    <w:rsid w:val="00351D6D"/>
    <w:rsid w:val="00352137"/>
    <w:rsid w:val="003607EE"/>
    <w:rsid w:val="00360A15"/>
    <w:rsid w:val="00392260"/>
    <w:rsid w:val="003956D9"/>
    <w:rsid w:val="0039790E"/>
    <w:rsid w:val="003A4CF5"/>
    <w:rsid w:val="003B004E"/>
    <w:rsid w:val="003B46EF"/>
    <w:rsid w:val="003D6155"/>
    <w:rsid w:val="003E68FD"/>
    <w:rsid w:val="003E7321"/>
    <w:rsid w:val="003F61A4"/>
    <w:rsid w:val="003F6983"/>
    <w:rsid w:val="00400E9F"/>
    <w:rsid w:val="004048BC"/>
    <w:rsid w:val="004127BA"/>
    <w:rsid w:val="00426F5F"/>
    <w:rsid w:val="004713B3"/>
    <w:rsid w:val="004749D3"/>
    <w:rsid w:val="00482A9A"/>
    <w:rsid w:val="00496D6F"/>
    <w:rsid w:val="004A5E56"/>
    <w:rsid w:val="004B42E6"/>
    <w:rsid w:val="004B7465"/>
    <w:rsid w:val="004C0F6C"/>
    <w:rsid w:val="004D4E91"/>
    <w:rsid w:val="004E4F71"/>
    <w:rsid w:val="00514418"/>
    <w:rsid w:val="00516475"/>
    <w:rsid w:val="00532328"/>
    <w:rsid w:val="00532C78"/>
    <w:rsid w:val="00543ACD"/>
    <w:rsid w:val="005555AB"/>
    <w:rsid w:val="00570A4C"/>
    <w:rsid w:val="005868E6"/>
    <w:rsid w:val="00590407"/>
    <w:rsid w:val="005962EC"/>
    <w:rsid w:val="005A2343"/>
    <w:rsid w:val="005A2702"/>
    <w:rsid w:val="005A3631"/>
    <w:rsid w:val="005B2CBD"/>
    <w:rsid w:val="005B32F6"/>
    <w:rsid w:val="005B3A08"/>
    <w:rsid w:val="005D7D13"/>
    <w:rsid w:val="00603B51"/>
    <w:rsid w:val="00603C48"/>
    <w:rsid w:val="00611E9A"/>
    <w:rsid w:val="00630FDD"/>
    <w:rsid w:val="00636FF7"/>
    <w:rsid w:val="00672E11"/>
    <w:rsid w:val="00675F95"/>
    <w:rsid w:val="00676AF5"/>
    <w:rsid w:val="00692639"/>
    <w:rsid w:val="006B2F08"/>
    <w:rsid w:val="006C239F"/>
    <w:rsid w:val="006E2673"/>
    <w:rsid w:val="006F5D6B"/>
    <w:rsid w:val="006F73E8"/>
    <w:rsid w:val="007000D8"/>
    <w:rsid w:val="00710C09"/>
    <w:rsid w:val="00722BDF"/>
    <w:rsid w:val="00733C01"/>
    <w:rsid w:val="00741BF6"/>
    <w:rsid w:val="00742662"/>
    <w:rsid w:val="00764FA7"/>
    <w:rsid w:val="00766D27"/>
    <w:rsid w:val="007C6391"/>
    <w:rsid w:val="007C72B6"/>
    <w:rsid w:val="007D3477"/>
    <w:rsid w:val="007E4928"/>
    <w:rsid w:val="007F13A9"/>
    <w:rsid w:val="007F2DBB"/>
    <w:rsid w:val="007F75CF"/>
    <w:rsid w:val="008054D9"/>
    <w:rsid w:val="008119D0"/>
    <w:rsid w:val="008142DA"/>
    <w:rsid w:val="008179D2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75EED"/>
    <w:rsid w:val="00880E32"/>
    <w:rsid w:val="008F08FE"/>
    <w:rsid w:val="0092414E"/>
    <w:rsid w:val="00947D1C"/>
    <w:rsid w:val="009532E5"/>
    <w:rsid w:val="00954885"/>
    <w:rsid w:val="0097298B"/>
    <w:rsid w:val="00991CFB"/>
    <w:rsid w:val="00997EF4"/>
    <w:rsid w:val="009A4931"/>
    <w:rsid w:val="009B0C92"/>
    <w:rsid w:val="009C027C"/>
    <w:rsid w:val="009D011E"/>
    <w:rsid w:val="009D0725"/>
    <w:rsid w:val="009D3AE9"/>
    <w:rsid w:val="009E503D"/>
    <w:rsid w:val="009F1A68"/>
    <w:rsid w:val="009F4804"/>
    <w:rsid w:val="00A00084"/>
    <w:rsid w:val="00A0008F"/>
    <w:rsid w:val="00A12B07"/>
    <w:rsid w:val="00A20EAC"/>
    <w:rsid w:val="00A234A2"/>
    <w:rsid w:val="00A34549"/>
    <w:rsid w:val="00A37923"/>
    <w:rsid w:val="00A42630"/>
    <w:rsid w:val="00A55806"/>
    <w:rsid w:val="00A571B7"/>
    <w:rsid w:val="00A57BEF"/>
    <w:rsid w:val="00A875C8"/>
    <w:rsid w:val="00A91977"/>
    <w:rsid w:val="00AA12FF"/>
    <w:rsid w:val="00AA303B"/>
    <w:rsid w:val="00AA62B5"/>
    <w:rsid w:val="00AB679F"/>
    <w:rsid w:val="00AC4788"/>
    <w:rsid w:val="00AE33DC"/>
    <w:rsid w:val="00AE7EBD"/>
    <w:rsid w:val="00B0088B"/>
    <w:rsid w:val="00B0632E"/>
    <w:rsid w:val="00B0645A"/>
    <w:rsid w:val="00B13DA2"/>
    <w:rsid w:val="00B15527"/>
    <w:rsid w:val="00B248BE"/>
    <w:rsid w:val="00B30257"/>
    <w:rsid w:val="00B62A15"/>
    <w:rsid w:val="00B77574"/>
    <w:rsid w:val="00B80533"/>
    <w:rsid w:val="00B90C91"/>
    <w:rsid w:val="00B96215"/>
    <w:rsid w:val="00BA232D"/>
    <w:rsid w:val="00BA76CE"/>
    <w:rsid w:val="00BB53EC"/>
    <w:rsid w:val="00BC3F45"/>
    <w:rsid w:val="00BD32A3"/>
    <w:rsid w:val="00BD3938"/>
    <w:rsid w:val="00BE06B0"/>
    <w:rsid w:val="00C00BB0"/>
    <w:rsid w:val="00C301EE"/>
    <w:rsid w:val="00C33038"/>
    <w:rsid w:val="00C34436"/>
    <w:rsid w:val="00C43070"/>
    <w:rsid w:val="00C43189"/>
    <w:rsid w:val="00C54F2B"/>
    <w:rsid w:val="00C92AF5"/>
    <w:rsid w:val="00CA32A6"/>
    <w:rsid w:val="00CA6D40"/>
    <w:rsid w:val="00CB175B"/>
    <w:rsid w:val="00CC23AA"/>
    <w:rsid w:val="00CD0750"/>
    <w:rsid w:val="00CD087E"/>
    <w:rsid w:val="00CE6A00"/>
    <w:rsid w:val="00CF2D2D"/>
    <w:rsid w:val="00D00CC8"/>
    <w:rsid w:val="00D01566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448FF"/>
    <w:rsid w:val="00D476E3"/>
    <w:rsid w:val="00D5435F"/>
    <w:rsid w:val="00D8311C"/>
    <w:rsid w:val="00D9244A"/>
    <w:rsid w:val="00D94B6E"/>
    <w:rsid w:val="00DC035B"/>
    <w:rsid w:val="00DC5920"/>
    <w:rsid w:val="00DD0A96"/>
    <w:rsid w:val="00DD6B10"/>
    <w:rsid w:val="00DE3B8D"/>
    <w:rsid w:val="00DF1226"/>
    <w:rsid w:val="00DF5746"/>
    <w:rsid w:val="00E00418"/>
    <w:rsid w:val="00E01184"/>
    <w:rsid w:val="00E01C88"/>
    <w:rsid w:val="00E03F5A"/>
    <w:rsid w:val="00E20574"/>
    <w:rsid w:val="00E3157A"/>
    <w:rsid w:val="00E54CB5"/>
    <w:rsid w:val="00E57DCF"/>
    <w:rsid w:val="00E64628"/>
    <w:rsid w:val="00E837F9"/>
    <w:rsid w:val="00E85364"/>
    <w:rsid w:val="00EC7788"/>
    <w:rsid w:val="00EF6FBB"/>
    <w:rsid w:val="00EF7EBA"/>
    <w:rsid w:val="00F152E2"/>
    <w:rsid w:val="00F25FC7"/>
    <w:rsid w:val="00F4022D"/>
    <w:rsid w:val="00F44DE8"/>
    <w:rsid w:val="00F60BBD"/>
    <w:rsid w:val="00F7652E"/>
    <w:rsid w:val="00F81696"/>
    <w:rsid w:val="00F82E76"/>
    <w:rsid w:val="00F8763D"/>
    <w:rsid w:val="00FB47F5"/>
    <w:rsid w:val="00FC211A"/>
    <w:rsid w:val="00FC499A"/>
    <w:rsid w:val="00FC6569"/>
    <w:rsid w:val="00FC7DB9"/>
    <w:rsid w:val="00FD14A7"/>
    <w:rsid w:val="00FD6305"/>
    <w:rsid w:val="00FE2A31"/>
    <w:rsid w:val="00FF2C30"/>
    <w:rsid w:val="00FF357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95025"/>
    <w:rsid w:val="00020DAC"/>
    <w:rsid w:val="00395025"/>
    <w:rsid w:val="00427363"/>
    <w:rsid w:val="00542311"/>
    <w:rsid w:val="007638A2"/>
    <w:rsid w:val="00840B53"/>
    <w:rsid w:val="00943CF1"/>
    <w:rsid w:val="00991015"/>
    <w:rsid w:val="00A46648"/>
    <w:rsid w:val="00B70B58"/>
    <w:rsid w:val="00C96517"/>
    <w:rsid w:val="00E641FB"/>
    <w:rsid w:val="00E6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Goal#4~ Dedicated Planning</vt:lpstr>
    </vt:vector>
  </TitlesOfParts>
  <Company>Guam Community College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Goal#4~ Dedicated Planning</dc:title>
  <dc:subject/>
  <dc:creator>Doris</dc:creator>
  <cp:keywords/>
  <dc:description/>
  <cp:lastModifiedBy>User</cp:lastModifiedBy>
  <cp:revision>16</cp:revision>
  <cp:lastPrinted>2011-09-27T05:22:00Z</cp:lastPrinted>
  <dcterms:created xsi:type="dcterms:W3CDTF">2011-05-31T05:29:00Z</dcterms:created>
  <dcterms:modified xsi:type="dcterms:W3CDTF">2011-10-13T02:18:00Z</dcterms:modified>
</cp:coreProperties>
</file>