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66" w:rsidRDefault="006B588A" w:rsidP="006B588A">
      <w:pPr>
        <w:pStyle w:val="ListParagraph"/>
        <w:numPr>
          <w:ilvl w:val="0"/>
          <w:numId w:val="2"/>
        </w:numPr>
      </w:pPr>
      <w:r w:rsidRPr="006B588A">
        <w:t>Guam Community College 2017-2018 Catalog, pp. 196-206</w:t>
      </w:r>
    </w:p>
    <w:p w:rsidR="006B588A" w:rsidRDefault="006B588A" w:rsidP="006B588A">
      <w:pPr>
        <w:pStyle w:val="ListParagraph"/>
        <w:numPr>
          <w:ilvl w:val="0"/>
          <w:numId w:val="2"/>
        </w:numPr>
      </w:pPr>
      <w:r w:rsidRPr="006B588A">
        <w:t>2017 Curriculum Manual p. 13-15</w:t>
      </w:r>
    </w:p>
    <w:p w:rsidR="006B588A" w:rsidRDefault="006B588A" w:rsidP="006B588A">
      <w:pPr>
        <w:pStyle w:val="ListParagraph"/>
        <w:numPr>
          <w:ilvl w:val="0"/>
          <w:numId w:val="2"/>
        </w:numPr>
      </w:pPr>
      <w:r w:rsidRPr="006B588A">
        <w:t>2017 Curriculum Manual, p. 4</w:t>
      </w:r>
    </w:p>
    <w:p w:rsidR="006B588A" w:rsidRDefault="006B588A" w:rsidP="006B588A">
      <w:pPr>
        <w:pStyle w:val="ListParagraph"/>
        <w:numPr>
          <w:ilvl w:val="0"/>
          <w:numId w:val="2"/>
        </w:numPr>
      </w:pPr>
      <w:r w:rsidRPr="006B588A">
        <w:t>VPAA September 5, 2017 Memo on Updates on Committees under VPAA oversight</w:t>
      </w:r>
    </w:p>
    <w:p w:rsidR="006B588A" w:rsidRDefault="006B588A" w:rsidP="006B588A">
      <w:pPr>
        <w:pStyle w:val="ListParagraph"/>
        <w:numPr>
          <w:ilvl w:val="0"/>
          <w:numId w:val="2"/>
        </w:numPr>
      </w:pPr>
      <w:r w:rsidRPr="006B588A">
        <w:t xml:space="preserve">15 </w:t>
      </w:r>
      <w:proofErr w:type="spellStart"/>
      <w:r w:rsidRPr="006B588A">
        <w:t>Webfront</w:t>
      </w:r>
      <w:proofErr w:type="spellEnd"/>
      <w:r w:rsidRPr="006B588A">
        <w:t xml:space="preserve"> picture</w:t>
      </w:r>
      <w:r>
        <w:t xml:space="preserve"> (FN#8)</w:t>
      </w:r>
    </w:p>
    <w:p w:rsidR="006B588A" w:rsidRDefault="006B588A" w:rsidP="006B588A">
      <w:pPr>
        <w:pStyle w:val="ListParagraph"/>
        <w:numPr>
          <w:ilvl w:val="0"/>
          <w:numId w:val="2"/>
        </w:numPr>
      </w:pPr>
      <w:r w:rsidRPr="006B588A">
        <w:t xml:space="preserve">GCC </w:t>
      </w:r>
      <w:proofErr w:type="spellStart"/>
      <w:r w:rsidRPr="006B588A">
        <w:t>Factbook</w:t>
      </w:r>
      <w:proofErr w:type="spellEnd"/>
      <w:r w:rsidRPr="006B588A">
        <w:t xml:space="preserve"> Volume 11 pp. 16, 17, 21</w:t>
      </w:r>
      <w:r>
        <w:t xml:space="preserve"> (FN#9)</w:t>
      </w:r>
    </w:p>
    <w:p w:rsidR="006B588A" w:rsidRDefault="006B588A" w:rsidP="006B588A">
      <w:pPr>
        <w:pStyle w:val="ListParagraph"/>
        <w:numPr>
          <w:ilvl w:val="0"/>
          <w:numId w:val="2"/>
        </w:numPr>
      </w:pPr>
      <w:r w:rsidRPr="006B588A">
        <w:t xml:space="preserve">A survey of Adjunct Faculty was conducted in January 2015 to ascertain adjunct faculty professional development needs.   </w:t>
      </w:r>
      <w:r w:rsidRPr="006B588A">
        <w:rPr>
          <w:color w:val="FF0000"/>
        </w:rPr>
        <w:t xml:space="preserve">(need evidence </w:t>
      </w:r>
      <w:r w:rsidR="008F0D7D">
        <w:rPr>
          <w:color w:val="FF0000"/>
        </w:rPr>
        <w:t>for</w:t>
      </w:r>
      <w:r w:rsidRPr="006B588A">
        <w:rPr>
          <w:color w:val="FF0000"/>
        </w:rPr>
        <w:t xml:space="preserve"> this FN#14)</w:t>
      </w:r>
    </w:p>
    <w:p w:rsidR="006B588A" w:rsidRDefault="006B588A" w:rsidP="006B588A">
      <w:pPr>
        <w:pStyle w:val="ListParagraph"/>
        <w:numPr>
          <w:ilvl w:val="0"/>
          <w:numId w:val="2"/>
        </w:numPr>
      </w:pPr>
      <w:r w:rsidRPr="006B588A">
        <w:t>The professional development consisted of four two-hour sessions on instructional delivery, student learning outcomes and instructional alignment, learning styles/brain research and implications for teaching and learning, and education and adult learning theories.</w:t>
      </w:r>
      <w:r>
        <w:t xml:space="preserve"> </w:t>
      </w:r>
      <w:r>
        <w:rPr>
          <w:color w:val="FF0000"/>
        </w:rPr>
        <w:t xml:space="preserve">(need evidence </w:t>
      </w:r>
      <w:r w:rsidR="008F0D7D">
        <w:rPr>
          <w:color w:val="FF0000"/>
        </w:rPr>
        <w:t>for</w:t>
      </w:r>
      <w:r>
        <w:rPr>
          <w:color w:val="FF0000"/>
        </w:rPr>
        <w:t xml:space="preserve"> this FN#15</w:t>
      </w:r>
      <w:r w:rsidRPr="006B588A">
        <w:rPr>
          <w:color w:val="FF0000"/>
        </w:rPr>
        <w:t>)</w:t>
      </w:r>
    </w:p>
    <w:p w:rsidR="006B588A" w:rsidRPr="006B588A" w:rsidRDefault="006B588A" w:rsidP="006B588A">
      <w:pPr>
        <w:pStyle w:val="ListParagraph"/>
        <w:numPr>
          <w:ilvl w:val="0"/>
          <w:numId w:val="2"/>
        </w:numPr>
      </w:pPr>
      <w:r w:rsidRPr="006B588A">
        <w:t>The Professional Development Review Committee (PDRC) is responsible for the planning, development, and implementation of professional development that contribute to full-time faculty growth.  PDRC has sponsored brown bag sessions, mentor-mentee program for new faculty, and purchased Go 2 Knowledge, an on-demand training program for faculty.</w:t>
      </w:r>
      <w:r>
        <w:t xml:space="preserve"> </w:t>
      </w:r>
      <w:r>
        <w:rPr>
          <w:color w:val="FF0000"/>
        </w:rPr>
        <w:t xml:space="preserve">(need evidence </w:t>
      </w:r>
      <w:r w:rsidR="008F0D7D">
        <w:rPr>
          <w:color w:val="FF0000"/>
        </w:rPr>
        <w:t>for</w:t>
      </w:r>
      <w:r>
        <w:rPr>
          <w:color w:val="FF0000"/>
        </w:rPr>
        <w:t xml:space="preserve"> this FN#16</w:t>
      </w:r>
      <w:r w:rsidRPr="006B588A">
        <w:rPr>
          <w:color w:val="FF0000"/>
        </w:rPr>
        <w:t>)</w:t>
      </w:r>
    </w:p>
    <w:p w:rsidR="006B588A" w:rsidRPr="008F0D7D" w:rsidRDefault="008F0D7D" w:rsidP="008F0D7D">
      <w:pPr>
        <w:pStyle w:val="ListParagraph"/>
        <w:numPr>
          <w:ilvl w:val="0"/>
          <w:numId w:val="2"/>
        </w:numPr>
      </w:pPr>
      <w:r w:rsidRPr="008F0D7D">
        <w:t>The purpose of the Plan is to provide a framework for college-wide professional development consistent with the institutional mission.</w:t>
      </w:r>
      <w:r>
        <w:t xml:space="preserve"> </w:t>
      </w:r>
      <w:r>
        <w:rPr>
          <w:color w:val="FF0000"/>
        </w:rPr>
        <w:t>(need evidence for this FN#18</w:t>
      </w:r>
      <w:r w:rsidRPr="006B588A">
        <w:rPr>
          <w:color w:val="FF0000"/>
        </w:rPr>
        <w:t>)</w:t>
      </w:r>
    </w:p>
    <w:p w:rsidR="008F0D7D" w:rsidRPr="008F0D7D" w:rsidRDefault="008F0D7D" w:rsidP="008F0D7D">
      <w:pPr>
        <w:pStyle w:val="ListParagraph"/>
        <w:numPr>
          <w:ilvl w:val="0"/>
          <w:numId w:val="2"/>
        </w:numPr>
      </w:pPr>
      <w:r w:rsidRPr="008F0D7D">
        <w:t>Curriculum Manual Appendix A</w:t>
      </w:r>
      <w:r>
        <w:t xml:space="preserve"> </w:t>
      </w:r>
      <w:r>
        <w:rPr>
          <w:color w:val="FF0000"/>
        </w:rPr>
        <w:t>(pg.#? need evidence for this FN#19</w:t>
      </w:r>
      <w:r w:rsidRPr="006B588A">
        <w:rPr>
          <w:color w:val="FF0000"/>
        </w:rPr>
        <w:t>)</w:t>
      </w:r>
    </w:p>
    <w:p w:rsidR="008F0D7D" w:rsidRPr="008F0D7D" w:rsidRDefault="008F0D7D" w:rsidP="008F0D7D">
      <w:pPr>
        <w:pStyle w:val="ListParagraph"/>
        <w:numPr>
          <w:ilvl w:val="0"/>
          <w:numId w:val="2"/>
        </w:numPr>
      </w:pPr>
      <w:r w:rsidRPr="008F0D7D">
        <w:t>After the Author submits the curriculum document, it may be approved or rejected at any step during the multi-layered review process. If the curriculum is approved at any step, the author is notified. If the curriculum is rejected at any step, the author is alerted and receives written feedback.</w:t>
      </w:r>
      <w:r>
        <w:t xml:space="preserve"> </w:t>
      </w:r>
      <w:r>
        <w:rPr>
          <w:color w:val="FF0000"/>
        </w:rPr>
        <w:t>(need evidence for this FN#</w:t>
      </w:r>
      <w:r>
        <w:rPr>
          <w:color w:val="FF0000"/>
        </w:rPr>
        <w:t>20</w:t>
      </w:r>
      <w:r w:rsidRPr="006B588A">
        <w:rPr>
          <w:color w:val="FF0000"/>
        </w:rPr>
        <w:t>)</w:t>
      </w:r>
    </w:p>
    <w:p w:rsidR="008F0D7D" w:rsidRPr="008F0D7D" w:rsidRDefault="008F0D7D" w:rsidP="008F0D7D">
      <w:pPr>
        <w:pStyle w:val="ListParagraph"/>
        <w:numPr>
          <w:ilvl w:val="0"/>
          <w:numId w:val="2"/>
        </w:numPr>
      </w:pPr>
      <w:r w:rsidRPr="008F0D7D">
        <w:t>The AY 2017-2018 Curriculum Review Committee (CRC) replaced the Learning Outcomes Committee (LOC) that existed since 2012</w:t>
      </w:r>
      <w:r>
        <w:t xml:space="preserve"> </w:t>
      </w:r>
      <w:r>
        <w:rPr>
          <w:color w:val="FF0000"/>
        </w:rPr>
        <w:t>(need evidence for this FN#</w:t>
      </w:r>
      <w:r>
        <w:rPr>
          <w:color w:val="FF0000"/>
        </w:rPr>
        <w:t>21</w:t>
      </w:r>
      <w:r w:rsidRPr="006B588A">
        <w:rPr>
          <w:color w:val="FF0000"/>
        </w:rPr>
        <w:t>)</w:t>
      </w:r>
    </w:p>
    <w:p w:rsidR="008F0D7D" w:rsidRPr="008F0D7D" w:rsidRDefault="008F0D7D" w:rsidP="008F0D7D">
      <w:pPr>
        <w:pStyle w:val="ListParagraph"/>
        <w:numPr>
          <w:ilvl w:val="0"/>
          <w:numId w:val="2"/>
        </w:numPr>
      </w:pPr>
      <w:r w:rsidRPr="008F0D7D">
        <w:t>Workforce Advisory Committee Handbook, pp. 8-9.</w:t>
      </w:r>
      <w:r>
        <w:t xml:space="preserve">  </w:t>
      </w:r>
      <w:r>
        <w:rPr>
          <w:color w:val="FF0000"/>
        </w:rPr>
        <w:t>(need evidence for this FN#</w:t>
      </w:r>
      <w:r>
        <w:rPr>
          <w:color w:val="FF0000"/>
        </w:rPr>
        <w:t>23</w:t>
      </w:r>
      <w:r w:rsidRPr="006B588A">
        <w:rPr>
          <w:color w:val="FF0000"/>
        </w:rPr>
        <w:t>)</w:t>
      </w:r>
    </w:p>
    <w:p w:rsidR="008F0D7D" w:rsidRPr="008F0D7D" w:rsidRDefault="008F0D7D" w:rsidP="008F0D7D">
      <w:pPr>
        <w:pStyle w:val="ListParagraph"/>
        <w:numPr>
          <w:ilvl w:val="0"/>
          <w:numId w:val="2"/>
        </w:numPr>
      </w:pPr>
      <w:r w:rsidRPr="008F0D7D">
        <w:t>Board Union Agreement, p. 29.</w:t>
      </w:r>
      <w:r>
        <w:t xml:space="preserve"> </w:t>
      </w:r>
      <w:r>
        <w:rPr>
          <w:color w:val="FF0000"/>
        </w:rPr>
        <w:t>(need evidence for this FN#</w:t>
      </w:r>
      <w:r>
        <w:rPr>
          <w:color w:val="FF0000"/>
        </w:rPr>
        <w:t>28</w:t>
      </w:r>
      <w:r w:rsidRPr="006B588A">
        <w:rPr>
          <w:color w:val="FF0000"/>
        </w:rPr>
        <w:t>)</w:t>
      </w:r>
    </w:p>
    <w:p w:rsidR="008F0D7D" w:rsidRPr="008F0D7D" w:rsidRDefault="008F0D7D" w:rsidP="008F0D7D">
      <w:pPr>
        <w:pStyle w:val="ListParagraph"/>
        <w:numPr>
          <w:ilvl w:val="0"/>
          <w:numId w:val="2"/>
        </w:numPr>
      </w:pPr>
      <w:r w:rsidRPr="008F0D7D">
        <w:t>The SLO Handbook AY 2017-2018 is an updated guide to developing student learning outcomes</w:t>
      </w:r>
      <w:r>
        <w:t xml:space="preserve"> </w:t>
      </w:r>
      <w:r>
        <w:rPr>
          <w:color w:val="FF0000"/>
        </w:rPr>
        <w:t>(need evidence for this FN#</w:t>
      </w:r>
      <w:r>
        <w:rPr>
          <w:color w:val="FF0000"/>
        </w:rPr>
        <w:t>29</w:t>
      </w:r>
      <w:r w:rsidRPr="006B588A">
        <w:rPr>
          <w:color w:val="FF0000"/>
        </w:rPr>
        <w:t>)</w:t>
      </w:r>
    </w:p>
    <w:p w:rsidR="008F0D7D" w:rsidRPr="008F0D7D" w:rsidRDefault="008F0D7D" w:rsidP="008F0D7D">
      <w:pPr>
        <w:pStyle w:val="ListParagraph"/>
        <w:numPr>
          <w:ilvl w:val="0"/>
          <w:numId w:val="2"/>
        </w:numPr>
      </w:pPr>
      <w:r w:rsidRPr="008F0D7D">
        <w:t>The 16th Annual Institutional Assessment Report (AIAR) for Academic Year pp. 4-5</w:t>
      </w:r>
      <w:r>
        <w:t xml:space="preserve"> </w:t>
      </w:r>
      <w:r>
        <w:rPr>
          <w:color w:val="FF0000"/>
        </w:rPr>
        <w:t>(need evidence for this FN#</w:t>
      </w:r>
      <w:r>
        <w:rPr>
          <w:color w:val="FF0000"/>
        </w:rPr>
        <w:t>31</w:t>
      </w:r>
      <w:r w:rsidRPr="006B588A">
        <w:rPr>
          <w:color w:val="FF0000"/>
        </w:rPr>
        <w:t>)</w:t>
      </w:r>
    </w:p>
    <w:p w:rsidR="008F0D7D" w:rsidRPr="008F0D7D" w:rsidRDefault="008F0D7D" w:rsidP="008F0D7D">
      <w:pPr>
        <w:pStyle w:val="ListParagraph"/>
        <w:numPr>
          <w:ilvl w:val="0"/>
          <w:numId w:val="2"/>
        </w:numPr>
      </w:pPr>
      <w:r w:rsidRPr="008F0D7D">
        <w:t>School of Career and College Success (CCS) and the new name was officially adopted in spring 2017.</w:t>
      </w:r>
      <w:r>
        <w:t xml:space="preserve"> </w:t>
      </w:r>
      <w:r>
        <w:rPr>
          <w:color w:val="FF0000"/>
        </w:rPr>
        <w:t>(need evidence for this FN#3</w:t>
      </w:r>
      <w:r>
        <w:rPr>
          <w:color w:val="FF0000"/>
        </w:rPr>
        <w:t>3</w:t>
      </w:r>
      <w:r w:rsidRPr="006B588A">
        <w:rPr>
          <w:color w:val="FF0000"/>
        </w:rPr>
        <w:t>)</w:t>
      </w:r>
    </w:p>
    <w:p w:rsidR="008F0D7D" w:rsidRPr="008F0D7D" w:rsidRDefault="008F0D7D" w:rsidP="008F0D7D">
      <w:pPr>
        <w:pStyle w:val="ListParagraph"/>
        <w:numPr>
          <w:ilvl w:val="0"/>
          <w:numId w:val="2"/>
        </w:numPr>
      </w:pPr>
      <w:r w:rsidRPr="008F0D7D">
        <w:t xml:space="preserve">A presentation was made to members of the President’s management team.   </w:t>
      </w:r>
      <w:r>
        <w:rPr>
          <w:color w:val="FF0000"/>
        </w:rPr>
        <w:t>(need evidence for this FN#3</w:t>
      </w:r>
      <w:r>
        <w:rPr>
          <w:color w:val="FF0000"/>
        </w:rPr>
        <w:t>4</w:t>
      </w:r>
      <w:r w:rsidRPr="006B588A">
        <w:rPr>
          <w:color w:val="FF0000"/>
        </w:rPr>
        <w:t>)</w:t>
      </w:r>
    </w:p>
    <w:p w:rsidR="008F0D7D" w:rsidRPr="001A1117" w:rsidRDefault="008F0D7D" w:rsidP="008F0D7D">
      <w:pPr>
        <w:pStyle w:val="ListParagraph"/>
        <w:numPr>
          <w:ilvl w:val="0"/>
          <w:numId w:val="2"/>
        </w:numPr>
      </w:pPr>
      <w:r w:rsidRPr="008F0D7D">
        <w:t xml:space="preserve">A preliminary report of the recommendations made was submitted in July 2017.  </w:t>
      </w:r>
      <w:r>
        <w:rPr>
          <w:color w:val="FF0000"/>
        </w:rPr>
        <w:t>(need evidence for this FN#3</w:t>
      </w:r>
      <w:r>
        <w:rPr>
          <w:color w:val="FF0000"/>
        </w:rPr>
        <w:t>5</w:t>
      </w:r>
      <w:r w:rsidRPr="006B588A">
        <w:rPr>
          <w:color w:val="FF0000"/>
        </w:rPr>
        <w:t>)</w:t>
      </w:r>
    </w:p>
    <w:p w:rsidR="001A1117" w:rsidRDefault="001A1117" w:rsidP="001A1117">
      <w:pPr>
        <w:pStyle w:val="ListParagraph"/>
        <w:numPr>
          <w:ilvl w:val="0"/>
          <w:numId w:val="2"/>
        </w:numPr>
      </w:pPr>
      <w:r>
        <w:t xml:space="preserve">  ACCUPLACER</w:t>
      </w:r>
      <w:r>
        <w:t xml:space="preserve"> </w:t>
      </w:r>
      <w:r>
        <w:rPr>
          <w:color w:val="FF0000"/>
        </w:rPr>
        <w:t>(need evidence for this FN#3</w:t>
      </w:r>
      <w:r>
        <w:rPr>
          <w:color w:val="FF0000"/>
        </w:rPr>
        <w:t>6</w:t>
      </w:r>
      <w:r w:rsidRPr="006B588A">
        <w:rPr>
          <w:color w:val="FF0000"/>
        </w:rPr>
        <w:t>)</w:t>
      </w:r>
    </w:p>
    <w:p w:rsidR="001A1117" w:rsidRDefault="001A1117" w:rsidP="001A1117">
      <w:pPr>
        <w:pStyle w:val="ListParagraph"/>
        <w:numPr>
          <w:ilvl w:val="0"/>
          <w:numId w:val="2"/>
        </w:numPr>
      </w:pPr>
      <w:r>
        <w:t xml:space="preserve">  GCC Fact Book Volume 11 p. 23</w:t>
      </w:r>
      <w:r>
        <w:t xml:space="preserve"> </w:t>
      </w:r>
      <w:r>
        <w:rPr>
          <w:color w:val="FF0000"/>
        </w:rPr>
        <w:t>(need evidence for this FN#3</w:t>
      </w:r>
      <w:r>
        <w:rPr>
          <w:color w:val="FF0000"/>
        </w:rPr>
        <w:t>7</w:t>
      </w:r>
      <w:r w:rsidRPr="006B588A">
        <w:rPr>
          <w:color w:val="FF0000"/>
        </w:rPr>
        <w:t>)</w:t>
      </w:r>
    </w:p>
    <w:p w:rsidR="001A1117" w:rsidRPr="001A1117" w:rsidRDefault="001A1117" w:rsidP="001A1117">
      <w:pPr>
        <w:pStyle w:val="ListParagraph"/>
        <w:numPr>
          <w:ilvl w:val="0"/>
          <w:numId w:val="2"/>
        </w:numPr>
      </w:pPr>
      <w:r>
        <w:t xml:space="preserve">  2008 General Education Impact Study. pp. 31-33.</w:t>
      </w:r>
      <w:r>
        <w:t xml:space="preserve"> </w:t>
      </w:r>
      <w:r>
        <w:rPr>
          <w:color w:val="FF0000"/>
        </w:rPr>
        <w:t>(need evidence for this FN#3</w:t>
      </w:r>
      <w:r>
        <w:rPr>
          <w:color w:val="FF0000"/>
        </w:rPr>
        <w:t>8)</w:t>
      </w:r>
    </w:p>
    <w:p w:rsidR="001A1117" w:rsidRPr="001A1117" w:rsidRDefault="001A1117" w:rsidP="001A1117">
      <w:pPr>
        <w:pStyle w:val="ListParagraph"/>
        <w:numPr>
          <w:ilvl w:val="0"/>
          <w:numId w:val="2"/>
        </w:numPr>
      </w:pPr>
      <w:r w:rsidRPr="001A1117">
        <w:t>Academic Vice President’s SAGA Reports Volume 5 p. 15</w:t>
      </w:r>
      <w:r>
        <w:t xml:space="preserve"> </w:t>
      </w:r>
      <w:r>
        <w:rPr>
          <w:color w:val="FF0000"/>
        </w:rPr>
        <w:t>(need evidence for this FN#3</w:t>
      </w:r>
      <w:r>
        <w:rPr>
          <w:color w:val="FF0000"/>
        </w:rPr>
        <w:t>9</w:t>
      </w:r>
      <w:r>
        <w:rPr>
          <w:color w:val="FF0000"/>
        </w:rPr>
        <w:t>)</w:t>
      </w:r>
    </w:p>
    <w:p w:rsidR="001A1117" w:rsidRPr="001A1117" w:rsidRDefault="001A1117" w:rsidP="001A1117">
      <w:pPr>
        <w:pStyle w:val="ListParagraph"/>
        <w:numPr>
          <w:ilvl w:val="0"/>
          <w:numId w:val="2"/>
        </w:numPr>
      </w:pPr>
      <w:r w:rsidRPr="001A1117">
        <w:lastRenderedPageBreak/>
        <w:t>GCC Fact Book Volume 11 pp. 9-14</w:t>
      </w:r>
      <w:r>
        <w:t xml:space="preserve"> </w:t>
      </w:r>
      <w:r>
        <w:rPr>
          <w:color w:val="FF0000"/>
        </w:rPr>
        <w:t>(need evidence for this FN#</w:t>
      </w:r>
      <w:r>
        <w:rPr>
          <w:color w:val="FF0000"/>
        </w:rPr>
        <w:t>46</w:t>
      </w:r>
      <w:r>
        <w:rPr>
          <w:color w:val="FF0000"/>
        </w:rPr>
        <w:t>)</w:t>
      </w:r>
    </w:p>
    <w:p w:rsidR="001A1117" w:rsidRPr="001A1117" w:rsidRDefault="001A1117" w:rsidP="001A1117">
      <w:pPr>
        <w:pStyle w:val="ListParagraph"/>
        <w:numPr>
          <w:ilvl w:val="0"/>
          <w:numId w:val="2"/>
        </w:numPr>
      </w:pPr>
      <w:r w:rsidRPr="001A1117">
        <w:t xml:space="preserve">34 C.F.R, section 602.16 (a) (vii), section 602.24 (e) (f) and section 600.2 (credit hour).  </w:t>
      </w:r>
      <w:r w:rsidRPr="001A1117">
        <w:rPr>
          <w:color w:val="FF0000"/>
        </w:rPr>
        <w:t>(need evidence for this FN#</w:t>
      </w:r>
      <w:r>
        <w:rPr>
          <w:color w:val="FF0000"/>
        </w:rPr>
        <w:t>52</w:t>
      </w:r>
      <w:r w:rsidRPr="001A1117">
        <w:rPr>
          <w:color w:val="FF0000"/>
        </w:rPr>
        <w:t>)</w:t>
      </w:r>
    </w:p>
    <w:p w:rsidR="001A1117" w:rsidRPr="001A1117" w:rsidRDefault="001A1117" w:rsidP="001A1117">
      <w:pPr>
        <w:pStyle w:val="ListParagraph"/>
        <w:numPr>
          <w:ilvl w:val="0"/>
          <w:numId w:val="2"/>
        </w:numPr>
      </w:pPr>
      <w:r w:rsidRPr="001A1117">
        <w:t>The following are established Institutional Learning Outcomes: (1) Guam Community College students will acquire the highest quality education and job training that promotes workforce development and empowers them to serve as dynamic leaders within the local and international community. Students will demonstrate: (2) Use of acquired skills in effective communication, and quantitative analysis with proper application of technology; (3) Ability to access, assimilate and use information ethically and legally; (4) Mastery of critical thinking and problem-solving techniques; (5) Collaborative skills that develop professionalism, integrity, respect, and fairness; and (6) Civic responsibility that fosters respect and understanding of ethical, social, cultural, and environmental issues locally and globally.</w:t>
      </w:r>
      <w:r>
        <w:t xml:space="preserve"> </w:t>
      </w:r>
      <w:r w:rsidRPr="001A1117">
        <w:rPr>
          <w:color w:val="FF0000"/>
        </w:rPr>
        <w:t>(need evidence for this FN#</w:t>
      </w:r>
      <w:r>
        <w:rPr>
          <w:color w:val="FF0000"/>
        </w:rPr>
        <w:t>5</w:t>
      </w:r>
      <w:r>
        <w:rPr>
          <w:color w:val="FF0000"/>
        </w:rPr>
        <w:t>7</w:t>
      </w:r>
      <w:r w:rsidRPr="001A1117">
        <w:rPr>
          <w:color w:val="FF0000"/>
        </w:rPr>
        <w:t>)</w:t>
      </w:r>
    </w:p>
    <w:p w:rsidR="001A1117" w:rsidRPr="005A7FA2" w:rsidRDefault="005A7FA2" w:rsidP="005A7FA2">
      <w:pPr>
        <w:pStyle w:val="ListParagraph"/>
        <w:numPr>
          <w:ilvl w:val="0"/>
          <w:numId w:val="2"/>
        </w:numPr>
      </w:pPr>
      <w:r w:rsidRPr="005A7FA2">
        <w:t>General Education section of 2017-2018 GCC Catalog</w:t>
      </w:r>
      <w:r>
        <w:t xml:space="preserve"> pp.29, 34-36 </w:t>
      </w:r>
      <w:r w:rsidRPr="001A1117">
        <w:rPr>
          <w:color w:val="FF0000"/>
        </w:rPr>
        <w:t>(need evidence for this FN#</w:t>
      </w:r>
      <w:r>
        <w:rPr>
          <w:color w:val="FF0000"/>
        </w:rPr>
        <w:t>5</w:t>
      </w:r>
      <w:r>
        <w:rPr>
          <w:color w:val="FF0000"/>
        </w:rPr>
        <w:t>9</w:t>
      </w:r>
      <w:r w:rsidRPr="001A1117">
        <w:rPr>
          <w:color w:val="FF0000"/>
        </w:rPr>
        <w:t>)</w:t>
      </w:r>
    </w:p>
    <w:p w:rsidR="005A7FA2" w:rsidRPr="005A7FA2" w:rsidRDefault="005A7FA2" w:rsidP="005A7FA2">
      <w:pPr>
        <w:pStyle w:val="ListParagraph"/>
        <w:numPr>
          <w:ilvl w:val="0"/>
          <w:numId w:val="2"/>
        </w:numPr>
      </w:pPr>
      <w:r w:rsidRPr="005A7FA2">
        <w:t>General Education memo and Request to Create a Committee</w:t>
      </w:r>
      <w:r>
        <w:t xml:space="preserve"> </w:t>
      </w:r>
      <w:r w:rsidRPr="001A1117">
        <w:rPr>
          <w:color w:val="FF0000"/>
        </w:rPr>
        <w:t>(need evidence for this FN#</w:t>
      </w:r>
      <w:r>
        <w:rPr>
          <w:color w:val="FF0000"/>
        </w:rPr>
        <w:t>60</w:t>
      </w:r>
      <w:r w:rsidRPr="001A1117">
        <w:rPr>
          <w:color w:val="FF0000"/>
        </w:rPr>
        <w:t>)</w:t>
      </w:r>
    </w:p>
    <w:p w:rsidR="005A7FA2" w:rsidRPr="005A7FA2" w:rsidRDefault="005A7FA2" w:rsidP="005A7FA2">
      <w:pPr>
        <w:pStyle w:val="ListParagraph"/>
        <w:numPr>
          <w:ilvl w:val="0"/>
          <w:numId w:val="2"/>
        </w:numPr>
      </w:pPr>
      <w:r w:rsidRPr="005A7FA2">
        <w:t xml:space="preserve">Institutional Learning Outcomes </w:t>
      </w:r>
      <w:r>
        <w:t xml:space="preserve">pp.33 </w:t>
      </w:r>
      <w:r w:rsidRPr="005A7FA2">
        <w:t>(GCC 2017-2018 Catalog)</w:t>
      </w:r>
      <w:r>
        <w:t xml:space="preserve"> </w:t>
      </w:r>
      <w:r w:rsidRPr="001A1117">
        <w:rPr>
          <w:color w:val="FF0000"/>
        </w:rPr>
        <w:t>(need evidence for this FN#</w:t>
      </w:r>
      <w:r>
        <w:rPr>
          <w:color w:val="FF0000"/>
        </w:rPr>
        <w:t>61</w:t>
      </w:r>
      <w:r w:rsidRPr="001A1117">
        <w:rPr>
          <w:color w:val="FF0000"/>
        </w:rPr>
        <w:t>)</w:t>
      </w:r>
    </w:p>
    <w:p w:rsidR="005A7FA2" w:rsidRPr="005A7FA2" w:rsidRDefault="005A7FA2" w:rsidP="005A7FA2">
      <w:pPr>
        <w:pStyle w:val="ListParagraph"/>
        <w:numPr>
          <w:ilvl w:val="0"/>
          <w:numId w:val="2"/>
        </w:numPr>
      </w:pPr>
      <w:r w:rsidRPr="005A7FA2">
        <w:t xml:space="preserve">Board Policy 306, provides the authority for “the President. . . in consultation with the College Committee on Assessment, to refine, monitor and strengthen the campus-wide assessment plan and schedule as well as report assessment results in a timely manner to all stakeholders in the College. . .”.  </w:t>
      </w:r>
      <w:r w:rsidRPr="001A1117">
        <w:rPr>
          <w:color w:val="FF0000"/>
        </w:rPr>
        <w:t>(</w:t>
      </w:r>
      <w:r>
        <w:rPr>
          <w:color w:val="FF0000"/>
        </w:rPr>
        <w:t xml:space="preserve">specific page? </w:t>
      </w:r>
      <w:r w:rsidRPr="001A1117">
        <w:rPr>
          <w:color w:val="FF0000"/>
        </w:rPr>
        <w:t>need evidence for this FN#</w:t>
      </w:r>
      <w:r>
        <w:rPr>
          <w:color w:val="FF0000"/>
        </w:rPr>
        <w:t>73</w:t>
      </w:r>
      <w:r w:rsidRPr="001A1117">
        <w:rPr>
          <w:color w:val="FF0000"/>
        </w:rPr>
        <w:t>)</w:t>
      </w:r>
    </w:p>
    <w:p w:rsidR="005A7FA2" w:rsidRPr="005A7FA2" w:rsidRDefault="005A7FA2" w:rsidP="005A7FA2">
      <w:pPr>
        <w:pStyle w:val="ListParagraph"/>
        <w:numPr>
          <w:ilvl w:val="0"/>
          <w:numId w:val="2"/>
        </w:numPr>
      </w:pPr>
      <w:r w:rsidRPr="005A7FA2">
        <w:t>The current annual curriculum review cycle was adopted in fall 2014</w:t>
      </w:r>
      <w:r>
        <w:t xml:space="preserve"> </w:t>
      </w:r>
      <w:r w:rsidRPr="001A1117">
        <w:rPr>
          <w:color w:val="FF0000"/>
        </w:rPr>
        <w:t>(need evidence for this FN#</w:t>
      </w:r>
      <w:r>
        <w:rPr>
          <w:color w:val="FF0000"/>
        </w:rPr>
        <w:t>7</w:t>
      </w:r>
      <w:r>
        <w:rPr>
          <w:color w:val="FF0000"/>
        </w:rPr>
        <w:t>4</w:t>
      </w:r>
      <w:r w:rsidRPr="001A1117">
        <w:rPr>
          <w:color w:val="FF0000"/>
        </w:rPr>
        <w:t>)</w:t>
      </w:r>
    </w:p>
    <w:p w:rsidR="005A7FA2" w:rsidRPr="005A7FA2" w:rsidRDefault="005A7FA2" w:rsidP="005A7FA2">
      <w:pPr>
        <w:pStyle w:val="ListParagraph"/>
        <w:numPr>
          <w:ilvl w:val="0"/>
          <w:numId w:val="2"/>
        </w:numPr>
      </w:pPr>
      <w:r w:rsidRPr="005A7FA2">
        <w:t>“The College continues to maintain its one hundred percent (100%) course-level student learning outcomes completion rate in its postsecondary courses.”</w:t>
      </w:r>
      <w:r>
        <w:t xml:space="preserve"> </w:t>
      </w:r>
      <w:r w:rsidRPr="001A1117">
        <w:rPr>
          <w:color w:val="FF0000"/>
        </w:rPr>
        <w:t>(need evidence for this FN#</w:t>
      </w:r>
      <w:r>
        <w:rPr>
          <w:color w:val="FF0000"/>
        </w:rPr>
        <w:t>7</w:t>
      </w:r>
      <w:r>
        <w:rPr>
          <w:color w:val="FF0000"/>
        </w:rPr>
        <w:t>5</w:t>
      </w:r>
      <w:r w:rsidRPr="001A1117">
        <w:rPr>
          <w:color w:val="FF0000"/>
        </w:rPr>
        <w:t>)</w:t>
      </w:r>
    </w:p>
    <w:p w:rsidR="005A7FA2" w:rsidRPr="005A7FA2" w:rsidRDefault="005A7FA2" w:rsidP="005A7FA2">
      <w:pPr>
        <w:pStyle w:val="ListParagraph"/>
        <w:numPr>
          <w:ilvl w:val="0"/>
          <w:numId w:val="2"/>
        </w:numPr>
      </w:pPr>
      <w:r w:rsidRPr="005A7FA2">
        <w:t>two-year assessment, Appendix C.</w:t>
      </w:r>
      <w:r>
        <w:t xml:space="preserve"> </w:t>
      </w:r>
      <w:r w:rsidRPr="001A1117">
        <w:rPr>
          <w:color w:val="FF0000"/>
        </w:rPr>
        <w:t>(need evidence for this FN#</w:t>
      </w:r>
      <w:r>
        <w:rPr>
          <w:color w:val="FF0000"/>
        </w:rPr>
        <w:t>7</w:t>
      </w:r>
      <w:r>
        <w:rPr>
          <w:color w:val="FF0000"/>
        </w:rPr>
        <w:t>6</w:t>
      </w:r>
      <w:r w:rsidRPr="001A1117">
        <w:rPr>
          <w:color w:val="FF0000"/>
        </w:rPr>
        <w:t>)</w:t>
      </w:r>
    </w:p>
    <w:p w:rsidR="005A7FA2" w:rsidRPr="005A7FA2" w:rsidRDefault="005A7FA2" w:rsidP="005A7FA2">
      <w:pPr>
        <w:pStyle w:val="ListParagraph"/>
        <w:numPr>
          <w:ilvl w:val="0"/>
          <w:numId w:val="2"/>
        </w:numPr>
      </w:pPr>
      <w:r w:rsidRPr="005A7FA2">
        <w:t xml:space="preserve">LRC Survey Forms: GCC Learning </w:t>
      </w:r>
      <w:proofErr w:type="spellStart"/>
      <w:r w:rsidRPr="005A7FA2">
        <w:t>Resourc</w:t>
      </w:r>
      <w:proofErr w:type="spellEnd"/>
      <w:r w:rsidRPr="005A7FA2">
        <w:t xml:space="preserve"> Center Survey, Library Instruction Program Survey, Students Pre &amp; Post Test</w:t>
      </w:r>
      <w:proofErr w:type="gramStart"/>
      <w:r w:rsidRPr="005A7FA2">
        <w:t>,  Department</w:t>
      </w:r>
      <w:proofErr w:type="gramEnd"/>
      <w:r w:rsidRPr="005A7FA2">
        <w:t xml:space="preserve"> Chairs, Postsecondary and Secondary Faculty Survey.</w:t>
      </w:r>
      <w:r>
        <w:t xml:space="preserve"> </w:t>
      </w:r>
      <w:r w:rsidRPr="001A1117">
        <w:rPr>
          <w:color w:val="FF0000"/>
        </w:rPr>
        <w:t>(need evidence for this FN#</w:t>
      </w:r>
      <w:r>
        <w:rPr>
          <w:color w:val="FF0000"/>
        </w:rPr>
        <w:t>7</w:t>
      </w:r>
      <w:r>
        <w:rPr>
          <w:color w:val="FF0000"/>
        </w:rPr>
        <w:t>8</w:t>
      </w:r>
      <w:r w:rsidRPr="001A1117">
        <w:rPr>
          <w:color w:val="FF0000"/>
        </w:rPr>
        <w:t>)</w:t>
      </w:r>
    </w:p>
    <w:p w:rsidR="005A7FA2" w:rsidRPr="00962833" w:rsidRDefault="00962833" w:rsidP="00962833">
      <w:pPr>
        <w:pStyle w:val="ListParagraph"/>
        <w:numPr>
          <w:ilvl w:val="0"/>
          <w:numId w:val="2"/>
        </w:numPr>
      </w:pPr>
      <w:r w:rsidRPr="00962833">
        <w:t xml:space="preserve">Project Aim has a student computer lab with 10 computers, for use by students who are participants of the Project Aim </w:t>
      </w:r>
      <w:proofErr w:type="spellStart"/>
      <w:r w:rsidRPr="00962833">
        <w:t>program.The</w:t>
      </w:r>
      <w:proofErr w:type="spellEnd"/>
      <w:r w:rsidRPr="00962833">
        <w:t xml:space="preserve"> College provides </w:t>
      </w:r>
      <w:proofErr w:type="spellStart"/>
      <w:r w:rsidRPr="00962833">
        <w:t>Ipads</w:t>
      </w:r>
      <w:proofErr w:type="spellEnd"/>
      <w:r w:rsidRPr="00962833">
        <w:t xml:space="preserve"> for instructional use to various postsecondary and secondary CTE programs, and about 73 multimedia </w:t>
      </w:r>
      <w:r w:rsidRPr="00962833">
        <w:rPr>
          <w:highlight w:val="yellow"/>
        </w:rPr>
        <w:t>projectors</w:t>
      </w:r>
      <w:r>
        <w:t xml:space="preserve"> </w:t>
      </w:r>
      <w:r w:rsidRPr="001A1117">
        <w:rPr>
          <w:color w:val="FF0000"/>
        </w:rPr>
        <w:t>(need evidence for this FN#</w:t>
      </w:r>
      <w:r>
        <w:rPr>
          <w:color w:val="FF0000"/>
        </w:rPr>
        <w:t>7</w:t>
      </w:r>
      <w:r>
        <w:rPr>
          <w:color w:val="FF0000"/>
        </w:rPr>
        <w:t>9</w:t>
      </w:r>
      <w:r w:rsidRPr="001A1117">
        <w:rPr>
          <w:color w:val="FF0000"/>
        </w:rPr>
        <w:t>)</w:t>
      </w:r>
    </w:p>
    <w:p w:rsidR="00962833" w:rsidRPr="00962833" w:rsidRDefault="00962833" w:rsidP="00962833">
      <w:pPr>
        <w:pStyle w:val="ListParagraph"/>
        <w:numPr>
          <w:ilvl w:val="0"/>
          <w:numId w:val="2"/>
        </w:numPr>
      </w:pPr>
      <w:r w:rsidRPr="00962833">
        <w:t xml:space="preserve">A five-year multimedia projector </w:t>
      </w:r>
      <w:r w:rsidRPr="00962833">
        <w:rPr>
          <w:highlight w:val="yellow"/>
        </w:rPr>
        <w:t>plan</w:t>
      </w:r>
      <w:r w:rsidRPr="00962833">
        <w:t xml:space="preserve"> is in place to augment and integrate technology in classroom instructions.</w:t>
      </w:r>
      <w:r>
        <w:t xml:space="preserve"> </w:t>
      </w:r>
      <w:r w:rsidRPr="001A1117">
        <w:rPr>
          <w:color w:val="FF0000"/>
        </w:rPr>
        <w:t>(need evidence for this FN#</w:t>
      </w:r>
      <w:r>
        <w:rPr>
          <w:color w:val="FF0000"/>
        </w:rPr>
        <w:t>80</w:t>
      </w:r>
      <w:r w:rsidRPr="001A1117">
        <w:rPr>
          <w:color w:val="FF0000"/>
        </w:rPr>
        <w:t>)</w:t>
      </w:r>
    </w:p>
    <w:p w:rsidR="00962833" w:rsidRPr="00962833" w:rsidRDefault="00962833" w:rsidP="00962833">
      <w:pPr>
        <w:pStyle w:val="ListParagraph"/>
        <w:numPr>
          <w:ilvl w:val="0"/>
          <w:numId w:val="2"/>
        </w:numPr>
      </w:pPr>
      <w:r w:rsidRPr="00962833">
        <w:t xml:space="preserve">The College commenced the offering and delivery of distance education on </w:t>
      </w:r>
      <w:r w:rsidRPr="00962833">
        <w:rPr>
          <w:highlight w:val="yellow"/>
        </w:rPr>
        <w:t>Moodle</w:t>
      </w:r>
      <w:r w:rsidRPr="00962833">
        <w:t xml:space="preserve">  in fall 2015 in various courses such as EN110 Freshman Composition, MA110A Finite Mathematics, OA101 Keyboarding and Document Processing</w:t>
      </w:r>
      <w:r>
        <w:t xml:space="preserve"> </w:t>
      </w:r>
      <w:r w:rsidRPr="001A1117">
        <w:rPr>
          <w:color w:val="FF0000"/>
        </w:rPr>
        <w:t>(need evidence for this FN#</w:t>
      </w:r>
      <w:r>
        <w:rPr>
          <w:color w:val="FF0000"/>
        </w:rPr>
        <w:t>81</w:t>
      </w:r>
      <w:r w:rsidRPr="001A1117">
        <w:rPr>
          <w:color w:val="FF0000"/>
        </w:rPr>
        <w:t>)</w:t>
      </w:r>
    </w:p>
    <w:p w:rsidR="00962833" w:rsidRPr="00962833" w:rsidRDefault="00962833" w:rsidP="00962833">
      <w:pPr>
        <w:pStyle w:val="ListParagraph"/>
        <w:numPr>
          <w:ilvl w:val="0"/>
          <w:numId w:val="2"/>
        </w:numPr>
      </w:pPr>
      <w:r w:rsidRPr="00962833">
        <w:t>CRC pp 17,39,57, 60</w:t>
      </w:r>
      <w:r>
        <w:t xml:space="preserve"> </w:t>
      </w:r>
      <w:r w:rsidRPr="001A1117">
        <w:rPr>
          <w:color w:val="FF0000"/>
        </w:rPr>
        <w:t>(need evidence for this FN#</w:t>
      </w:r>
      <w:r>
        <w:rPr>
          <w:color w:val="FF0000"/>
        </w:rPr>
        <w:t>82</w:t>
      </w:r>
      <w:r w:rsidRPr="001A1117">
        <w:rPr>
          <w:color w:val="FF0000"/>
        </w:rPr>
        <w:t>)</w:t>
      </w:r>
    </w:p>
    <w:p w:rsidR="00962833" w:rsidRPr="00962833" w:rsidRDefault="00962833" w:rsidP="00962833">
      <w:pPr>
        <w:pStyle w:val="ListParagraph"/>
        <w:numPr>
          <w:ilvl w:val="0"/>
          <w:numId w:val="2"/>
        </w:numPr>
      </w:pPr>
      <w:r w:rsidRPr="00962833">
        <w:t>2016-2017 Student Handbook, pp15-17</w:t>
      </w:r>
      <w:r>
        <w:t xml:space="preserve"> </w:t>
      </w:r>
      <w:r w:rsidRPr="001A1117">
        <w:rPr>
          <w:color w:val="FF0000"/>
        </w:rPr>
        <w:t>(need evidence for this FN#</w:t>
      </w:r>
      <w:r>
        <w:rPr>
          <w:color w:val="FF0000"/>
        </w:rPr>
        <w:t>91</w:t>
      </w:r>
      <w:r w:rsidRPr="001A1117">
        <w:rPr>
          <w:color w:val="FF0000"/>
        </w:rPr>
        <w:t>)</w:t>
      </w:r>
    </w:p>
    <w:p w:rsidR="00962833" w:rsidRPr="00962833" w:rsidRDefault="00962833" w:rsidP="00962833">
      <w:pPr>
        <w:pStyle w:val="ListParagraph"/>
        <w:numPr>
          <w:ilvl w:val="0"/>
          <w:numId w:val="2"/>
        </w:numPr>
      </w:pPr>
      <w:r w:rsidRPr="00962833">
        <w:t>Fall Festival flyer</w:t>
      </w:r>
      <w:r>
        <w:t xml:space="preserve"> </w:t>
      </w:r>
      <w:r w:rsidRPr="001A1117">
        <w:rPr>
          <w:color w:val="FF0000"/>
        </w:rPr>
        <w:t>(need evidence for this FN#</w:t>
      </w:r>
      <w:r>
        <w:rPr>
          <w:color w:val="FF0000"/>
        </w:rPr>
        <w:t>96</w:t>
      </w:r>
      <w:r w:rsidRPr="001A1117">
        <w:rPr>
          <w:color w:val="FF0000"/>
        </w:rPr>
        <w:t>)</w:t>
      </w:r>
    </w:p>
    <w:p w:rsidR="00962833" w:rsidRPr="00962833" w:rsidRDefault="00962833" w:rsidP="00962833">
      <w:pPr>
        <w:pStyle w:val="ListParagraph"/>
        <w:numPr>
          <w:ilvl w:val="0"/>
          <w:numId w:val="2"/>
        </w:numPr>
      </w:pPr>
      <w:r w:rsidRPr="00962833">
        <w:t>The Service Learning program, which is also managed by the Center for Student Involvement (CSI</w:t>
      </w:r>
      <w:proofErr w:type="gramStart"/>
      <w:r w:rsidRPr="00962833">
        <w:t>) ,</w:t>
      </w:r>
      <w:proofErr w:type="gramEnd"/>
      <w:r w:rsidRPr="00962833">
        <w:t xml:space="preserve"> provides opportunities for students to have rich learning experiences outside of the classroom.  In the academic year 2016-2017, 421 students participated in service learning, logging 4,266 hours in places such as elementary schools, deaf socials, mayors’ offices, animal shelters and more</w:t>
      </w:r>
      <w:r>
        <w:t xml:space="preserve"> </w:t>
      </w:r>
      <w:r w:rsidRPr="001A1117">
        <w:rPr>
          <w:color w:val="FF0000"/>
        </w:rPr>
        <w:t>(need evidence for this FN#</w:t>
      </w:r>
      <w:r>
        <w:rPr>
          <w:color w:val="FF0000"/>
        </w:rPr>
        <w:t>98</w:t>
      </w:r>
      <w:r w:rsidRPr="001A1117">
        <w:rPr>
          <w:color w:val="FF0000"/>
        </w:rPr>
        <w:t>)</w:t>
      </w:r>
    </w:p>
    <w:p w:rsidR="00962833" w:rsidRPr="00962833" w:rsidRDefault="00962833" w:rsidP="00962833">
      <w:pPr>
        <w:pStyle w:val="ListParagraph"/>
        <w:numPr>
          <w:ilvl w:val="0"/>
          <w:numId w:val="2"/>
        </w:numPr>
      </w:pPr>
      <w:r w:rsidRPr="00962833">
        <w:t>On AIR 2017 invitation</w:t>
      </w:r>
      <w:r>
        <w:t xml:space="preserve">  </w:t>
      </w:r>
      <w:r w:rsidRPr="001A1117">
        <w:rPr>
          <w:color w:val="FF0000"/>
        </w:rPr>
        <w:t>(need evidence for this FN#</w:t>
      </w:r>
      <w:r>
        <w:rPr>
          <w:color w:val="FF0000"/>
        </w:rPr>
        <w:t>9</w:t>
      </w:r>
      <w:r>
        <w:rPr>
          <w:color w:val="FF0000"/>
        </w:rPr>
        <w:t>9</w:t>
      </w:r>
      <w:r w:rsidRPr="001A1117">
        <w:rPr>
          <w:color w:val="FF0000"/>
        </w:rPr>
        <w:t>)</w:t>
      </w:r>
    </w:p>
    <w:p w:rsidR="00962833" w:rsidRPr="00414C85" w:rsidRDefault="00962833" w:rsidP="00962833">
      <w:pPr>
        <w:pStyle w:val="ListParagraph"/>
        <w:numPr>
          <w:ilvl w:val="0"/>
          <w:numId w:val="2"/>
        </w:numPr>
      </w:pPr>
      <w:proofErr w:type="spellStart"/>
      <w:r w:rsidRPr="00962833">
        <w:t>Soc</w:t>
      </w:r>
      <w:proofErr w:type="spellEnd"/>
      <w:r w:rsidRPr="00962833">
        <w:t xml:space="preserve"> Just Guam’s Quest for Decolonization Flyer</w:t>
      </w:r>
      <w:r>
        <w:t xml:space="preserve"> </w:t>
      </w:r>
      <w:r w:rsidRPr="001A1117">
        <w:rPr>
          <w:color w:val="FF0000"/>
        </w:rPr>
        <w:t>(need evidence for this FN#</w:t>
      </w:r>
      <w:r>
        <w:rPr>
          <w:color w:val="FF0000"/>
        </w:rPr>
        <w:t>100</w:t>
      </w:r>
      <w:r w:rsidRPr="001A1117">
        <w:rPr>
          <w:color w:val="FF0000"/>
        </w:rPr>
        <w:t>)</w:t>
      </w:r>
    </w:p>
    <w:p w:rsidR="00414C85" w:rsidRPr="00414C85" w:rsidRDefault="00414C85" w:rsidP="00414C85">
      <w:pPr>
        <w:pStyle w:val="ListParagraph"/>
        <w:numPr>
          <w:ilvl w:val="0"/>
          <w:numId w:val="2"/>
        </w:numPr>
      </w:pPr>
      <w:r w:rsidRPr="00414C85">
        <w:t>Agreement Between The Guam Community College Faculty Union Local 6476 AFT/AFL-CIO &amp; The Guam Community College Board of Trustees 2017-2023  p. 113</w:t>
      </w:r>
      <w:r>
        <w:t xml:space="preserve"> </w:t>
      </w:r>
      <w:r w:rsidRPr="001A1117">
        <w:rPr>
          <w:color w:val="FF0000"/>
        </w:rPr>
        <w:t>(need evidence for this FN#</w:t>
      </w:r>
      <w:r>
        <w:rPr>
          <w:color w:val="FF0000"/>
        </w:rPr>
        <w:t>1</w:t>
      </w:r>
      <w:r>
        <w:rPr>
          <w:color w:val="FF0000"/>
        </w:rPr>
        <w:t>11</w:t>
      </w:r>
      <w:r w:rsidRPr="001A1117">
        <w:rPr>
          <w:color w:val="FF0000"/>
        </w:rPr>
        <w:t>)</w:t>
      </w:r>
    </w:p>
    <w:p w:rsidR="00414C85" w:rsidRPr="00414C85" w:rsidRDefault="00414C85" w:rsidP="00414C85">
      <w:pPr>
        <w:pStyle w:val="ListParagraph"/>
        <w:numPr>
          <w:ilvl w:val="0"/>
          <w:numId w:val="2"/>
        </w:numPr>
      </w:pPr>
      <w:r w:rsidRPr="00414C85">
        <w:t>The policy for releasing student records can be found in</w:t>
      </w:r>
      <w:r>
        <w:t xml:space="preserve"> the 2017-2018 College Catalog </w:t>
      </w:r>
      <w:r w:rsidRPr="001A1117">
        <w:rPr>
          <w:color w:val="FF0000"/>
        </w:rPr>
        <w:t>(need evidence for this FN#</w:t>
      </w:r>
      <w:r>
        <w:rPr>
          <w:color w:val="FF0000"/>
        </w:rPr>
        <w:t>11</w:t>
      </w:r>
      <w:r>
        <w:rPr>
          <w:color w:val="FF0000"/>
        </w:rPr>
        <w:t>6</w:t>
      </w:r>
      <w:bookmarkStart w:id="0" w:name="_GoBack"/>
      <w:bookmarkEnd w:id="0"/>
      <w:r w:rsidRPr="001A1117">
        <w:rPr>
          <w:color w:val="FF0000"/>
        </w:rPr>
        <w:t>)</w:t>
      </w:r>
    </w:p>
    <w:p w:rsidR="00962833" w:rsidRDefault="00962833" w:rsidP="00962833">
      <w:pPr>
        <w:rPr>
          <w:rFonts w:eastAsia="Cambria" w:cs="Cambria"/>
          <w:sz w:val="16"/>
          <w:szCs w:val="16"/>
        </w:rPr>
      </w:pPr>
    </w:p>
    <w:p w:rsidR="00962833" w:rsidRDefault="00962833" w:rsidP="00962833"/>
    <w:p w:rsidR="00962833" w:rsidRPr="00962833" w:rsidRDefault="00962833" w:rsidP="00962833"/>
    <w:p w:rsidR="00962833" w:rsidRDefault="00962833" w:rsidP="001A1117"/>
    <w:sectPr w:rsidR="009628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48" w:rsidRDefault="006D0548" w:rsidP="008F0D7D">
      <w:pPr>
        <w:spacing w:after="0" w:line="240" w:lineRule="auto"/>
      </w:pPr>
      <w:r>
        <w:separator/>
      </w:r>
    </w:p>
  </w:endnote>
  <w:endnote w:type="continuationSeparator" w:id="0">
    <w:p w:rsidR="006D0548" w:rsidRDefault="006D0548" w:rsidP="008F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48" w:rsidRDefault="006D0548" w:rsidP="008F0D7D">
      <w:pPr>
        <w:spacing w:after="0" w:line="240" w:lineRule="auto"/>
      </w:pPr>
      <w:r>
        <w:separator/>
      </w:r>
    </w:p>
  </w:footnote>
  <w:footnote w:type="continuationSeparator" w:id="0">
    <w:p w:rsidR="006D0548" w:rsidRDefault="006D0548" w:rsidP="008F0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61EC8"/>
    <w:multiLevelType w:val="hybridMultilevel"/>
    <w:tmpl w:val="265A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9F1240"/>
    <w:multiLevelType w:val="hybridMultilevel"/>
    <w:tmpl w:val="9AEE3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8A"/>
    <w:rsid w:val="00023109"/>
    <w:rsid w:val="000454B2"/>
    <w:rsid w:val="00053339"/>
    <w:rsid w:val="0005509A"/>
    <w:rsid w:val="00062EA3"/>
    <w:rsid w:val="00087C8C"/>
    <w:rsid w:val="000B68E7"/>
    <w:rsid w:val="000D525C"/>
    <w:rsid w:val="000F7C18"/>
    <w:rsid w:val="00126022"/>
    <w:rsid w:val="00153947"/>
    <w:rsid w:val="00165159"/>
    <w:rsid w:val="001906BC"/>
    <w:rsid w:val="00195A4D"/>
    <w:rsid w:val="001A002B"/>
    <w:rsid w:val="001A1117"/>
    <w:rsid w:val="001B10A4"/>
    <w:rsid w:val="001B32DA"/>
    <w:rsid w:val="001D0D66"/>
    <w:rsid w:val="001D29CE"/>
    <w:rsid w:val="001F7B37"/>
    <w:rsid w:val="00201766"/>
    <w:rsid w:val="002313B9"/>
    <w:rsid w:val="00247CDF"/>
    <w:rsid w:val="00290D7B"/>
    <w:rsid w:val="002D22FF"/>
    <w:rsid w:val="00347C66"/>
    <w:rsid w:val="003E138F"/>
    <w:rsid w:val="0041492E"/>
    <w:rsid w:val="00414C85"/>
    <w:rsid w:val="00434B66"/>
    <w:rsid w:val="00443259"/>
    <w:rsid w:val="00452A69"/>
    <w:rsid w:val="0047464F"/>
    <w:rsid w:val="0049162E"/>
    <w:rsid w:val="0052617C"/>
    <w:rsid w:val="00535339"/>
    <w:rsid w:val="00553665"/>
    <w:rsid w:val="00557D45"/>
    <w:rsid w:val="00561FE5"/>
    <w:rsid w:val="005656A7"/>
    <w:rsid w:val="005A0795"/>
    <w:rsid w:val="005A7FA2"/>
    <w:rsid w:val="005D1FCC"/>
    <w:rsid w:val="005F1071"/>
    <w:rsid w:val="00611EFE"/>
    <w:rsid w:val="00612123"/>
    <w:rsid w:val="00624ADE"/>
    <w:rsid w:val="00646E9F"/>
    <w:rsid w:val="00691843"/>
    <w:rsid w:val="0069316D"/>
    <w:rsid w:val="006B51B1"/>
    <w:rsid w:val="006B588A"/>
    <w:rsid w:val="006C597D"/>
    <w:rsid w:val="006D0548"/>
    <w:rsid w:val="006D1AB1"/>
    <w:rsid w:val="006F101B"/>
    <w:rsid w:val="006F361C"/>
    <w:rsid w:val="0070005F"/>
    <w:rsid w:val="0071058B"/>
    <w:rsid w:val="00716058"/>
    <w:rsid w:val="00722DFF"/>
    <w:rsid w:val="007409C6"/>
    <w:rsid w:val="007624A2"/>
    <w:rsid w:val="007A100B"/>
    <w:rsid w:val="007B052F"/>
    <w:rsid w:val="007D3DD9"/>
    <w:rsid w:val="007F488C"/>
    <w:rsid w:val="00815DC0"/>
    <w:rsid w:val="00823A67"/>
    <w:rsid w:val="008451B6"/>
    <w:rsid w:val="008815B0"/>
    <w:rsid w:val="00883F39"/>
    <w:rsid w:val="008C4094"/>
    <w:rsid w:val="008E0DD1"/>
    <w:rsid w:val="008F0D7D"/>
    <w:rsid w:val="00905670"/>
    <w:rsid w:val="00962833"/>
    <w:rsid w:val="00964265"/>
    <w:rsid w:val="0096593C"/>
    <w:rsid w:val="009968F3"/>
    <w:rsid w:val="009B1C1B"/>
    <w:rsid w:val="009E56F8"/>
    <w:rsid w:val="009F6DEE"/>
    <w:rsid w:val="00A010A5"/>
    <w:rsid w:val="00A20790"/>
    <w:rsid w:val="00A46E42"/>
    <w:rsid w:val="00B31482"/>
    <w:rsid w:val="00B42481"/>
    <w:rsid w:val="00B45CB7"/>
    <w:rsid w:val="00B477A7"/>
    <w:rsid w:val="00BA4626"/>
    <w:rsid w:val="00C10F1D"/>
    <w:rsid w:val="00C32320"/>
    <w:rsid w:val="00C64EE8"/>
    <w:rsid w:val="00C71324"/>
    <w:rsid w:val="00C90CEB"/>
    <w:rsid w:val="00D02FDC"/>
    <w:rsid w:val="00D2321D"/>
    <w:rsid w:val="00D30A35"/>
    <w:rsid w:val="00D33DC3"/>
    <w:rsid w:val="00D52886"/>
    <w:rsid w:val="00D532BC"/>
    <w:rsid w:val="00D62CCB"/>
    <w:rsid w:val="00D65303"/>
    <w:rsid w:val="00D676A4"/>
    <w:rsid w:val="00D86B8D"/>
    <w:rsid w:val="00D96D5F"/>
    <w:rsid w:val="00DA09B7"/>
    <w:rsid w:val="00DA50BA"/>
    <w:rsid w:val="00DB6BC2"/>
    <w:rsid w:val="00DE5F3F"/>
    <w:rsid w:val="00DE6D52"/>
    <w:rsid w:val="00E00B67"/>
    <w:rsid w:val="00E024F0"/>
    <w:rsid w:val="00E12EE4"/>
    <w:rsid w:val="00E1538D"/>
    <w:rsid w:val="00E35AF1"/>
    <w:rsid w:val="00E91C78"/>
    <w:rsid w:val="00EC5462"/>
    <w:rsid w:val="00EE05A2"/>
    <w:rsid w:val="00EE0A7C"/>
    <w:rsid w:val="00EF68C6"/>
    <w:rsid w:val="00F03167"/>
    <w:rsid w:val="00F147FF"/>
    <w:rsid w:val="00F23788"/>
    <w:rsid w:val="00F54F17"/>
    <w:rsid w:val="00F71AEA"/>
    <w:rsid w:val="00F771CC"/>
    <w:rsid w:val="00FA42FC"/>
    <w:rsid w:val="00FA5C5C"/>
    <w:rsid w:val="00FC7375"/>
    <w:rsid w:val="00FE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88A"/>
    <w:pPr>
      <w:ind w:left="720"/>
      <w:contextualSpacing/>
    </w:pPr>
  </w:style>
  <w:style w:type="character" w:styleId="Hyperlink">
    <w:name w:val="Hyperlink"/>
    <w:basedOn w:val="DefaultParagraphFont"/>
    <w:uiPriority w:val="99"/>
    <w:unhideWhenUsed/>
    <w:rsid w:val="006B588A"/>
    <w:rPr>
      <w:color w:val="0000FF" w:themeColor="hyperlink"/>
      <w:u w:val="single"/>
    </w:rPr>
  </w:style>
  <w:style w:type="character" w:styleId="FollowedHyperlink">
    <w:name w:val="FollowedHyperlink"/>
    <w:basedOn w:val="DefaultParagraphFont"/>
    <w:uiPriority w:val="99"/>
    <w:semiHidden/>
    <w:unhideWhenUsed/>
    <w:rsid w:val="006B588A"/>
    <w:rPr>
      <w:color w:val="800080" w:themeColor="followedHyperlink"/>
      <w:u w:val="single"/>
    </w:rPr>
  </w:style>
  <w:style w:type="paragraph" w:styleId="BalloonText">
    <w:name w:val="Balloon Text"/>
    <w:basedOn w:val="Normal"/>
    <w:link w:val="BalloonTextChar"/>
    <w:uiPriority w:val="99"/>
    <w:semiHidden/>
    <w:unhideWhenUsed/>
    <w:rsid w:val="00414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88A"/>
    <w:pPr>
      <w:ind w:left="720"/>
      <w:contextualSpacing/>
    </w:pPr>
  </w:style>
  <w:style w:type="character" w:styleId="Hyperlink">
    <w:name w:val="Hyperlink"/>
    <w:basedOn w:val="DefaultParagraphFont"/>
    <w:uiPriority w:val="99"/>
    <w:unhideWhenUsed/>
    <w:rsid w:val="006B588A"/>
    <w:rPr>
      <w:color w:val="0000FF" w:themeColor="hyperlink"/>
      <w:u w:val="single"/>
    </w:rPr>
  </w:style>
  <w:style w:type="character" w:styleId="FollowedHyperlink">
    <w:name w:val="FollowedHyperlink"/>
    <w:basedOn w:val="DefaultParagraphFont"/>
    <w:uiPriority w:val="99"/>
    <w:semiHidden/>
    <w:unhideWhenUsed/>
    <w:rsid w:val="006B588A"/>
    <w:rPr>
      <w:color w:val="800080" w:themeColor="followedHyperlink"/>
      <w:u w:val="single"/>
    </w:rPr>
  </w:style>
  <w:style w:type="paragraph" w:styleId="BalloonText">
    <w:name w:val="Balloon Text"/>
    <w:basedOn w:val="Normal"/>
    <w:link w:val="BalloonTextChar"/>
    <w:uiPriority w:val="99"/>
    <w:semiHidden/>
    <w:unhideWhenUsed/>
    <w:rsid w:val="00414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C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dc:creator>
  <cp:lastModifiedBy>Tasi</cp:lastModifiedBy>
  <cp:revision>1</cp:revision>
  <cp:lastPrinted>2017-11-20T01:54:00Z</cp:lastPrinted>
  <dcterms:created xsi:type="dcterms:W3CDTF">2017-11-20T00:05:00Z</dcterms:created>
  <dcterms:modified xsi:type="dcterms:W3CDTF">2017-11-20T01:54:00Z</dcterms:modified>
</cp:coreProperties>
</file>